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31EF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rPr>
      </w:pPr>
    </w:p>
    <w:p w14:paraId="73A5D8B6" w14:textId="77777777" w:rsidR="005128E4" w:rsidRPr="003C32BC" w:rsidRDefault="005128E4" w:rsidP="00040C3A">
      <w:pPr>
        <w:tabs>
          <w:tab w:val="center" w:pos="5400"/>
        </w:tabs>
        <w:suppressAutoHyphens/>
        <w:rPr>
          <w:rFonts w:asciiTheme="majorHAnsi" w:hAnsiTheme="majorHAnsi"/>
          <w:sz w:val="22"/>
          <w:szCs w:val="22"/>
        </w:rPr>
      </w:pPr>
    </w:p>
    <w:p w14:paraId="3C77C4EA" w14:textId="77777777" w:rsidR="005128E4" w:rsidRPr="003C32BC" w:rsidRDefault="005128E4" w:rsidP="00040C3A">
      <w:pPr>
        <w:tabs>
          <w:tab w:val="center" w:pos="5400"/>
        </w:tabs>
        <w:suppressAutoHyphens/>
        <w:rPr>
          <w:rFonts w:asciiTheme="majorHAnsi" w:hAnsiTheme="majorHAnsi"/>
          <w:sz w:val="22"/>
          <w:szCs w:val="22"/>
        </w:rPr>
      </w:pPr>
    </w:p>
    <w:p w14:paraId="59CA1627" w14:textId="77777777" w:rsidR="005128E4" w:rsidRPr="003C32BC" w:rsidRDefault="005128E4" w:rsidP="00040C3A">
      <w:pPr>
        <w:tabs>
          <w:tab w:val="center" w:pos="5400"/>
        </w:tabs>
        <w:suppressAutoHyphens/>
        <w:rPr>
          <w:rFonts w:asciiTheme="majorHAnsi" w:hAnsiTheme="majorHAnsi"/>
          <w:sz w:val="22"/>
          <w:szCs w:val="22"/>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A4E47" w14:textId="32726E48" w:rsidR="001B7524"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15FCD">
                              <w:rPr>
                                <w:rFonts w:asciiTheme="majorHAnsi" w:hAnsiTheme="majorHAnsi" w:cs="Arial"/>
                                <w:b/>
                                <w:bCs/>
                                <w:color w:val="0D0D0D" w:themeColor="text1" w:themeTint="F2"/>
                                <w:sz w:val="36"/>
                                <w:szCs w:val="40"/>
                              </w:rPr>
                              <w:t>111</w:t>
                            </w:r>
                            <w:r>
                              <w:rPr>
                                <w:rFonts w:asciiTheme="majorHAnsi" w:hAnsiTheme="majorHAnsi" w:cs="Arial"/>
                                <w:b/>
                                <w:bCs/>
                                <w:color w:val="0D0D0D" w:themeColor="text1" w:themeTint="F2"/>
                                <w:sz w:val="36"/>
                                <w:szCs w:val="40"/>
                              </w:rPr>
                              <w:t>/23</w:t>
                            </w:r>
                          </w:p>
                          <w:p w14:paraId="2F09FD78" w14:textId="250A0C4A"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13.840</w:t>
                            </w:r>
                          </w:p>
                          <w:p w14:paraId="137925A6" w14:textId="5A967A04"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31628FCE" w14:textId="5EBE83BA" w:rsidR="008B0E1C" w:rsidRPr="00E4233F" w:rsidRDefault="008B0E1C" w:rsidP="008B0E1C">
                            <w:pPr>
                              <w:rPr>
                                <w:rFonts w:ascii="Cambria" w:hAnsi="Cambria" w:cs="Arial"/>
                                <w:color w:val="0D0D0D"/>
                              </w:rPr>
                            </w:pPr>
                            <w:r>
                              <w:rPr>
                                <w:rFonts w:ascii="Cambria" w:hAnsi="Cambria" w:cs="Arial"/>
                                <w:color w:val="0D0D0D"/>
                              </w:rPr>
                              <w:t>EDWIN HERNAN CIRO AND FAMILY</w:t>
                            </w:r>
                          </w:p>
                          <w:p w14:paraId="2D339DF7" w14:textId="77777777" w:rsidR="008B0E1C" w:rsidRPr="005B48F9" w:rsidRDefault="008B0E1C" w:rsidP="008B0E1C">
                            <w:pPr>
                              <w:rPr>
                                <w:rFonts w:ascii="Cambria" w:hAnsi="Cambria" w:cs="Arial"/>
                                <w:color w:val="0D0D0D"/>
                              </w:rPr>
                            </w:pPr>
                            <w:r>
                              <w:rPr>
                                <w:rFonts w:ascii="Cambria" w:hAnsi="Cambria" w:cs="Arial"/>
                                <w:color w:val="0D0D0D"/>
                              </w:rPr>
                              <w:t>COLOMBIA</w:t>
                            </w:r>
                          </w:p>
                          <w:p w14:paraId="07E90BFE" w14:textId="3714BB4F" w:rsidR="005B52B0" w:rsidRPr="00F64582" w:rsidRDefault="005B52B0" w:rsidP="008B0E1C">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23A4E47" w14:textId="32726E48" w:rsidR="001B7524"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215FCD">
                        <w:rPr>
                          <w:rFonts w:asciiTheme="majorHAnsi" w:hAnsiTheme="majorHAnsi" w:cs="Arial"/>
                          <w:b/>
                          <w:bCs/>
                          <w:color w:val="0D0D0D" w:themeColor="text1" w:themeTint="F2"/>
                          <w:sz w:val="36"/>
                          <w:szCs w:val="40"/>
                        </w:rPr>
                        <w:t>111</w:t>
                      </w:r>
                      <w:r>
                        <w:rPr>
                          <w:rFonts w:asciiTheme="majorHAnsi" w:hAnsiTheme="majorHAnsi" w:cs="Arial"/>
                          <w:b/>
                          <w:bCs/>
                          <w:color w:val="0D0D0D" w:themeColor="text1" w:themeTint="F2"/>
                          <w:sz w:val="36"/>
                          <w:szCs w:val="40"/>
                        </w:rPr>
                        <w:t>/23</w:t>
                      </w:r>
                    </w:p>
                    <w:p w14:paraId="2F09FD78" w14:textId="250A0C4A" w:rsidR="00322450" w:rsidRPr="004B7EB6" w:rsidRDefault="0032245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 13.840</w:t>
                      </w:r>
                    </w:p>
                    <w:p w14:paraId="137925A6" w14:textId="5A967A04" w:rsidR="00322450" w:rsidRPr="004B7EB6" w:rsidRDefault="00450A4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31628FCE" w14:textId="5EBE83BA" w:rsidR="008B0E1C" w:rsidRPr="00E4233F" w:rsidRDefault="008B0E1C" w:rsidP="008B0E1C">
                      <w:pPr>
                        <w:rPr>
                          <w:rFonts w:ascii="Cambria" w:hAnsi="Cambria" w:cs="Arial"/>
                          <w:color w:val="0D0D0D"/>
                        </w:rPr>
                      </w:pPr>
                      <w:r>
                        <w:rPr>
                          <w:rFonts w:ascii="Cambria" w:hAnsi="Cambria" w:cs="Arial"/>
                          <w:color w:val="0D0D0D"/>
                        </w:rPr>
                        <w:t>EDWIN HERNAN CIRO AND FAMILY</w:t>
                      </w:r>
                    </w:p>
                    <w:p w14:paraId="2D339DF7" w14:textId="77777777" w:rsidR="008B0E1C" w:rsidRPr="005B48F9" w:rsidRDefault="008B0E1C" w:rsidP="008B0E1C">
                      <w:pPr>
                        <w:rPr>
                          <w:rFonts w:ascii="Cambria" w:hAnsi="Cambria" w:cs="Arial"/>
                          <w:color w:val="0D0D0D"/>
                        </w:rPr>
                      </w:pPr>
                      <w:r>
                        <w:rPr>
                          <w:rFonts w:ascii="Cambria" w:hAnsi="Cambria" w:cs="Arial"/>
                          <w:color w:val="0D0D0D"/>
                        </w:rPr>
                        <w:t>COLOMBIA</w:t>
                      </w:r>
                    </w:p>
                    <w:p w14:paraId="07E90BFE" w14:textId="3714BB4F" w:rsidR="005B52B0" w:rsidRPr="00F64582" w:rsidRDefault="005B52B0" w:rsidP="008B0E1C">
                      <w:pPr>
                        <w:spacing w:line="276" w:lineRule="auto"/>
                        <w:rPr>
                          <w:rFonts w:asciiTheme="majorHAnsi" w:hAnsiTheme="majorHAnsi"/>
                          <w:color w:val="0D0D0D" w:themeColor="text1" w:themeTint="F2"/>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1DAAC194" w:rsidR="00627C9F" w:rsidRPr="0069155A" w:rsidRDefault="00627C9F" w:rsidP="002C1641">
                            <w:pPr>
                              <w:jc w:val="right"/>
                              <w:rPr>
                                <w:rFonts w:asciiTheme="minorHAnsi" w:hAnsiTheme="minorHAnsi"/>
                                <w:color w:val="FFFFFF" w:themeColor="background1"/>
                                <w:sz w:val="22"/>
                              </w:rPr>
                            </w:pPr>
                            <w:r w:rsidRPr="0069155A">
                              <w:rPr>
                                <w:rFonts w:asciiTheme="minorHAnsi" w:hAnsiTheme="minorHAnsi"/>
                                <w:color w:val="FFFFFF" w:themeColor="background1"/>
                                <w:sz w:val="22"/>
                              </w:rPr>
                              <w:t>OEA/</w:t>
                            </w:r>
                            <w:proofErr w:type="spellStart"/>
                            <w:r w:rsidRPr="0069155A">
                              <w:rPr>
                                <w:rFonts w:asciiTheme="minorHAnsi" w:hAnsiTheme="minorHAnsi"/>
                                <w:color w:val="FFFFFF" w:themeColor="background1"/>
                                <w:sz w:val="22"/>
                              </w:rPr>
                              <w:t>Ser.L</w:t>
                            </w:r>
                            <w:proofErr w:type="spellEnd"/>
                            <w:r w:rsidRPr="0069155A">
                              <w:rPr>
                                <w:rFonts w:asciiTheme="minorHAnsi" w:hAnsiTheme="minorHAnsi"/>
                                <w:color w:val="FFFFFF" w:themeColor="background1"/>
                                <w:sz w:val="22"/>
                              </w:rPr>
                              <w:t>/V/II</w:t>
                            </w:r>
                          </w:p>
                          <w:p w14:paraId="330BBEF7" w14:textId="0A256B6D" w:rsidR="00627C9F" w:rsidRPr="0069155A" w:rsidRDefault="00627C9F" w:rsidP="002C1641">
                            <w:pPr>
                              <w:jc w:val="right"/>
                              <w:rPr>
                                <w:rFonts w:asciiTheme="minorHAnsi" w:hAnsiTheme="minorHAnsi"/>
                                <w:color w:val="FFFFFF" w:themeColor="background1"/>
                                <w:sz w:val="22"/>
                              </w:rPr>
                            </w:pPr>
                            <w:r w:rsidRPr="0069155A">
                              <w:rPr>
                                <w:rFonts w:asciiTheme="minorHAnsi" w:hAnsiTheme="minorHAnsi"/>
                                <w:color w:val="FFFFFF" w:themeColor="background1"/>
                                <w:sz w:val="22"/>
                              </w:rPr>
                              <w:t xml:space="preserve">Doc. </w:t>
                            </w:r>
                            <w:r w:rsidR="00215FCD" w:rsidRPr="0069155A">
                              <w:rPr>
                                <w:rFonts w:asciiTheme="minorHAnsi" w:hAnsiTheme="minorHAnsi"/>
                                <w:color w:val="FFFFFF" w:themeColor="background1"/>
                                <w:sz w:val="22"/>
                              </w:rPr>
                              <w:t>121</w:t>
                            </w:r>
                          </w:p>
                          <w:p w14:paraId="64A9D0B0" w14:textId="03D56DAD" w:rsidR="00627C9F" w:rsidRPr="004B7EB6" w:rsidRDefault="00215FCD"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C475DF">
                              <w:rPr>
                                <w:rFonts w:asciiTheme="minorHAnsi" w:hAnsiTheme="minorHAnsi"/>
                                <w:color w:val="FFFFFF" w:themeColor="background1"/>
                                <w:sz w:val="22"/>
                              </w:rPr>
                              <w:t xml:space="preserve"> July</w:t>
                            </w:r>
                            <w:r w:rsidR="00627C9F">
                              <w:rPr>
                                <w:rFonts w:asciiTheme="minorHAnsi" w:hAnsiTheme="minorHAnsi"/>
                                <w:color w:val="FFFFFF" w:themeColor="background1"/>
                                <w:sz w:val="22"/>
                              </w:rPr>
                              <w:t xml:space="preserve"> 2023</w:t>
                            </w:r>
                          </w:p>
                          <w:p w14:paraId="61B7CA4D" w14:textId="7AF2B791"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69155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1DAAC194" w:rsidR="00627C9F" w:rsidRPr="0069155A" w:rsidRDefault="00627C9F" w:rsidP="002C1641">
                      <w:pPr>
                        <w:jc w:val="right"/>
                        <w:rPr>
                          <w:rFonts w:asciiTheme="minorHAnsi" w:hAnsiTheme="minorHAnsi"/>
                          <w:color w:val="FFFFFF" w:themeColor="background1"/>
                          <w:sz w:val="22"/>
                        </w:rPr>
                      </w:pPr>
                      <w:r w:rsidRPr="0069155A">
                        <w:rPr>
                          <w:rFonts w:asciiTheme="minorHAnsi" w:hAnsiTheme="minorHAnsi"/>
                          <w:color w:val="FFFFFF" w:themeColor="background1"/>
                          <w:sz w:val="22"/>
                        </w:rPr>
                        <w:t>OEA/</w:t>
                      </w:r>
                      <w:proofErr w:type="spellStart"/>
                      <w:r w:rsidRPr="0069155A">
                        <w:rPr>
                          <w:rFonts w:asciiTheme="minorHAnsi" w:hAnsiTheme="minorHAnsi"/>
                          <w:color w:val="FFFFFF" w:themeColor="background1"/>
                          <w:sz w:val="22"/>
                        </w:rPr>
                        <w:t>Ser.L</w:t>
                      </w:r>
                      <w:proofErr w:type="spellEnd"/>
                      <w:r w:rsidRPr="0069155A">
                        <w:rPr>
                          <w:rFonts w:asciiTheme="minorHAnsi" w:hAnsiTheme="minorHAnsi"/>
                          <w:color w:val="FFFFFF" w:themeColor="background1"/>
                          <w:sz w:val="22"/>
                        </w:rPr>
                        <w:t>/V/II</w:t>
                      </w:r>
                    </w:p>
                    <w:p w14:paraId="330BBEF7" w14:textId="0A256B6D" w:rsidR="00627C9F" w:rsidRPr="0069155A" w:rsidRDefault="00627C9F" w:rsidP="002C1641">
                      <w:pPr>
                        <w:jc w:val="right"/>
                        <w:rPr>
                          <w:rFonts w:asciiTheme="minorHAnsi" w:hAnsiTheme="minorHAnsi"/>
                          <w:color w:val="FFFFFF" w:themeColor="background1"/>
                          <w:sz w:val="22"/>
                        </w:rPr>
                      </w:pPr>
                      <w:r w:rsidRPr="0069155A">
                        <w:rPr>
                          <w:rFonts w:asciiTheme="minorHAnsi" w:hAnsiTheme="minorHAnsi"/>
                          <w:color w:val="FFFFFF" w:themeColor="background1"/>
                          <w:sz w:val="22"/>
                        </w:rPr>
                        <w:t xml:space="preserve">Doc. </w:t>
                      </w:r>
                      <w:r w:rsidR="00215FCD" w:rsidRPr="0069155A">
                        <w:rPr>
                          <w:rFonts w:asciiTheme="minorHAnsi" w:hAnsiTheme="minorHAnsi"/>
                          <w:color w:val="FFFFFF" w:themeColor="background1"/>
                          <w:sz w:val="22"/>
                        </w:rPr>
                        <w:t>121</w:t>
                      </w:r>
                    </w:p>
                    <w:p w14:paraId="64A9D0B0" w14:textId="03D56DAD" w:rsidR="00627C9F" w:rsidRPr="004B7EB6" w:rsidRDefault="00215FCD" w:rsidP="002C1641">
                      <w:pPr>
                        <w:jc w:val="right"/>
                        <w:rPr>
                          <w:rFonts w:asciiTheme="minorHAnsi" w:hAnsiTheme="minorHAnsi"/>
                          <w:color w:val="FFFFFF" w:themeColor="background1"/>
                          <w:sz w:val="22"/>
                        </w:rPr>
                      </w:pPr>
                      <w:r>
                        <w:rPr>
                          <w:rFonts w:asciiTheme="minorHAnsi" w:hAnsiTheme="minorHAnsi"/>
                          <w:color w:val="FFFFFF" w:themeColor="background1"/>
                          <w:sz w:val="22"/>
                        </w:rPr>
                        <w:t>26</w:t>
                      </w:r>
                      <w:r w:rsidR="00C475DF">
                        <w:rPr>
                          <w:rFonts w:asciiTheme="minorHAnsi" w:hAnsiTheme="minorHAnsi"/>
                          <w:color w:val="FFFFFF" w:themeColor="background1"/>
                          <w:sz w:val="22"/>
                        </w:rPr>
                        <w:t xml:space="preserve"> July</w:t>
                      </w:r>
                      <w:r w:rsidR="00627C9F">
                        <w:rPr>
                          <w:rFonts w:asciiTheme="minorHAnsi" w:hAnsiTheme="minorHAnsi"/>
                          <w:color w:val="FFFFFF" w:themeColor="background1"/>
                          <w:sz w:val="22"/>
                        </w:rPr>
                        <w:t xml:space="preserve"> 2023</w:t>
                      </w:r>
                    </w:p>
                    <w:p w14:paraId="61B7CA4D" w14:textId="7AF2B791" w:rsidR="00627C9F" w:rsidRPr="004B7EB6" w:rsidRDefault="00627C9F"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Original: </w:t>
                      </w:r>
                      <w:r w:rsidR="0069155A">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4C7927B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00215FCD">
                              <w:rPr>
                                <w:rFonts w:asciiTheme="majorHAnsi" w:hAnsiTheme="majorHAnsi"/>
                                <w:color w:val="0D0D0D" w:themeColor="text1" w:themeTint="F2"/>
                                <w:sz w:val="18"/>
                                <w:szCs w:val="22"/>
                              </w:rPr>
                              <w:t>pproved</w:t>
                            </w:r>
                            <w:r>
                              <w:rPr>
                                <w:rFonts w:asciiTheme="majorHAnsi" w:hAnsiTheme="majorHAnsi"/>
                                <w:color w:val="0D0D0D" w:themeColor="text1" w:themeTint="F2"/>
                                <w:sz w:val="18"/>
                                <w:szCs w:val="22"/>
                              </w:rPr>
                              <w:t xml:space="preserve"> electronically by the Commission on </w:t>
                            </w:r>
                            <w:r w:rsidR="00215FCD">
                              <w:rPr>
                                <w:rFonts w:asciiTheme="majorHAnsi" w:hAnsiTheme="majorHAnsi"/>
                                <w:color w:val="0D0D0D" w:themeColor="text1" w:themeTint="F2"/>
                                <w:sz w:val="18"/>
                                <w:szCs w:val="22"/>
                              </w:rPr>
                              <w:t>July</w:t>
                            </w:r>
                            <w:r>
                              <w:rPr>
                                <w:rFonts w:asciiTheme="majorHAnsi" w:hAnsiTheme="majorHAnsi"/>
                                <w:color w:val="0D0D0D" w:themeColor="text1" w:themeTint="F2"/>
                                <w:sz w:val="18"/>
                                <w:szCs w:val="22"/>
                              </w:rPr>
                              <w:t xml:space="preserve"> </w:t>
                            </w:r>
                            <w:r w:rsidR="00215FCD">
                              <w:rPr>
                                <w:rFonts w:asciiTheme="majorHAnsi" w:hAnsiTheme="majorHAnsi"/>
                                <w:color w:val="0D0D0D" w:themeColor="text1" w:themeTint="F2"/>
                                <w:sz w:val="18"/>
                                <w:szCs w:val="22"/>
                              </w:rPr>
                              <w:t>26</w:t>
                            </w:r>
                            <w:r>
                              <w:rPr>
                                <w:rFonts w:asciiTheme="majorHAnsi" w:hAnsiTheme="majorHAnsi"/>
                                <w:color w:val="0D0D0D" w:themeColor="text1" w:themeTint="F2"/>
                                <w:sz w:val="18"/>
                                <w:szCs w:val="22"/>
                              </w:rPr>
                              <w:t>, 2023</w:t>
                            </w:r>
                            <w:r w:rsidR="0069155A">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4C7927B7"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w:t>
                      </w:r>
                      <w:r w:rsidR="00215FCD">
                        <w:rPr>
                          <w:rFonts w:asciiTheme="majorHAnsi" w:hAnsiTheme="majorHAnsi"/>
                          <w:color w:val="0D0D0D" w:themeColor="text1" w:themeTint="F2"/>
                          <w:sz w:val="18"/>
                          <w:szCs w:val="22"/>
                        </w:rPr>
                        <w:t>pproved</w:t>
                      </w:r>
                      <w:r>
                        <w:rPr>
                          <w:rFonts w:asciiTheme="majorHAnsi" w:hAnsiTheme="majorHAnsi"/>
                          <w:color w:val="0D0D0D" w:themeColor="text1" w:themeTint="F2"/>
                          <w:sz w:val="18"/>
                          <w:szCs w:val="22"/>
                        </w:rPr>
                        <w:t xml:space="preserve"> electronically by the Commission on </w:t>
                      </w:r>
                      <w:r w:rsidR="00215FCD">
                        <w:rPr>
                          <w:rFonts w:asciiTheme="majorHAnsi" w:hAnsiTheme="majorHAnsi"/>
                          <w:color w:val="0D0D0D" w:themeColor="text1" w:themeTint="F2"/>
                          <w:sz w:val="18"/>
                          <w:szCs w:val="22"/>
                        </w:rPr>
                        <w:t>July</w:t>
                      </w:r>
                      <w:r>
                        <w:rPr>
                          <w:rFonts w:asciiTheme="majorHAnsi" w:hAnsiTheme="majorHAnsi"/>
                          <w:color w:val="0D0D0D" w:themeColor="text1" w:themeTint="F2"/>
                          <w:sz w:val="18"/>
                          <w:szCs w:val="22"/>
                        </w:rPr>
                        <w:t xml:space="preserve"> </w:t>
                      </w:r>
                      <w:r w:rsidR="00215FCD">
                        <w:rPr>
                          <w:rFonts w:asciiTheme="majorHAnsi" w:hAnsiTheme="majorHAnsi"/>
                          <w:color w:val="0D0D0D" w:themeColor="text1" w:themeTint="F2"/>
                          <w:sz w:val="18"/>
                          <w:szCs w:val="22"/>
                        </w:rPr>
                        <w:t>26</w:t>
                      </w:r>
                      <w:r>
                        <w:rPr>
                          <w:rFonts w:asciiTheme="majorHAnsi" w:hAnsiTheme="majorHAnsi"/>
                          <w:color w:val="0D0D0D" w:themeColor="text1" w:themeTint="F2"/>
                          <w:sz w:val="18"/>
                          <w:szCs w:val="22"/>
                        </w:rPr>
                        <w:t>, 2023</w:t>
                      </w:r>
                      <w:r w:rsidR="0069155A">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79ABFC41"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 xml:space="preserve">Cite as: </w:t>
                            </w:r>
                            <w:r>
                              <w:rPr>
                                <w:rFonts w:asciiTheme="majorHAnsi" w:hAnsiTheme="majorHAnsi"/>
                                <w:color w:val="595959" w:themeColor="text1" w:themeTint="A6"/>
                                <w:sz w:val="18"/>
                              </w:rPr>
                              <w:t xml:space="preserve">IACHR, Report No. </w:t>
                            </w:r>
                            <w:r w:rsidR="00215FCD">
                              <w:rPr>
                                <w:rFonts w:asciiTheme="majorHAnsi" w:hAnsiTheme="majorHAnsi"/>
                                <w:color w:val="595959" w:themeColor="text1" w:themeTint="A6"/>
                                <w:sz w:val="18"/>
                              </w:rPr>
                              <w:t>111</w:t>
                            </w:r>
                            <w:r>
                              <w:rPr>
                                <w:rFonts w:asciiTheme="majorHAnsi" w:hAnsiTheme="majorHAnsi"/>
                                <w:color w:val="595959" w:themeColor="text1" w:themeTint="A6"/>
                                <w:sz w:val="18"/>
                              </w:rPr>
                              <w:t>/</w:t>
                            </w:r>
                            <w:r w:rsidR="00215FCD">
                              <w:rPr>
                                <w:rFonts w:asciiTheme="majorHAnsi" w:hAnsiTheme="majorHAnsi"/>
                                <w:color w:val="595959" w:themeColor="text1" w:themeTint="A6"/>
                                <w:sz w:val="18"/>
                              </w:rPr>
                              <w:t>23</w:t>
                            </w:r>
                            <w:r w:rsidR="004F5E91">
                              <w:rPr>
                                <w:rFonts w:asciiTheme="majorHAnsi" w:hAnsiTheme="majorHAnsi"/>
                                <w:color w:val="595959" w:themeColor="text1" w:themeTint="A6"/>
                                <w:sz w:val="18"/>
                              </w:rPr>
                              <w:t>.</w:t>
                            </w:r>
                            <w:r>
                              <w:rPr>
                                <w:rFonts w:asciiTheme="majorHAnsi" w:hAnsiTheme="majorHAnsi"/>
                                <w:color w:val="595959" w:themeColor="text1" w:themeTint="A6"/>
                                <w:sz w:val="18"/>
                              </w:rPr>
                              <w:t xml:space="preserve"> Case </w:t>
                            </w:r>
                            <w:r w:rsidR="00A76DE1">
                              <w:rPr>
                                <w:rFonts w:asciiTheme="majorHAnsi" w:hAnsiTheme="majorHAnsi"/>
                                <w:color w:val="595959" w:themeColor="text1" w:themeTint="A6"/>
                                <w:sz w:val="18"/>
                              </w:rPr>
                              <w:t>13.840</w:t>
                            </w:r>
                            <w:r w:rsidR="00BC2AAB">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w:t>
                            </w:r>
                            <w:r w:rsidR="00A76DE1">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A76DE1">
                              <w:rPr>
                                <w:rFonts w:asciiTheme="majorHAnsi" w:hAnsiTheme="majorHAnsi"/>
                                <w:color w:val="595959" w:themeColor="text1" w:themeTint="A6"/>
                                <w:sz w:val="18"/>
                              </w:rPr>
                              <w:t>Edwin Hernan Ciro and family</w:t>
                            </w:r>
                            <w:r w:rsidR="00BC2AAB">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BC2AAB">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BC2AAB">
                              <w:rPr>
                                <w:rFonts w:asciiTheme="majorHAnsi" w:hAnsiTheme="majorHAnsi"/>
                                <w:color w:val="595959" w:themeColor="text1" w:themeTint="A6"/>
                                <w:sz w:val="18"/>
                              </w:rPr>
                              <w:t>July 26, 2023</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79ABFC41" w:rsidR="00F644E6" w:rsidRPr="003C32BC" w:rsidRDefault="00F644E6"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rPr>
                        <w:t xml:space="preserve">Cite as: </w:t>
                      </w:r>
                      <w:r>
                        <w:rPr>
                          <w:rFonts w:asciiTheme="majorHAnsi" w:hAnsiTheme="majorHAnsi"/>
                          <w:color w:val="595959" w:themeColor="text1" w:themeTint="A6"/>
                          <w:sz w:val="18"/>
                        </w:rPr>
                        <w:t xml:space="preserve">IACHR, Report No. </w:t>
                      </w:r>
                      <w:r w:rsidR="00215FCD">
                        <w:rPr>
                          <w:rFonts w:asciiTheme="majorHAnsi" w:hAnsiTheme="majorHAnsi"/>
                          <w:color w:val="595959" w:themeColor="text1" w:themeTint="A6"/>
                          <w:sz w:val="18"/>
                        </w:rPr>
                        <w:t>111</w:t>
                      </w:r>
                      <w:r>
                        <w:rPr>
                          <w:rFonts w:asciiTheme="majorHAnsi" w:hAnsiTheme="majorHAnsi"/>
                          <w:color w:val="595959" w:themeColor="text1" w:themeTint="A6"/>
                          <w:sz w:val="18"/>
                        </w:rPr>
                        <w:t>/</w:t>
                      </w:r>
                      <w:r w:rsidR="00215FCD">
                        <w:rPr>
                          <w:rFonts w:asciiTheme="majorHAnsi" w:hAnsiTheme="majorHAnsi"/>
                          <w:color w:val="595959" w:themeColor="text1" w:themeTint="A6"/>
                          <w:sz w:val="18"/>
                        </w:rPr>
                        <w:t>23</w:t>
                      </w:r>
                      <w:r w:rsidR="004F5E91">
                        <w:rPr>
                          <w:rFonts w:asciiTheme="majorHAnsi" w:hAnsiTheme="majorHAnsi"/>
                          <w:color w:val="595959" w:themeColor="text1" w:themeTint="A6"/>
                          <w:sz w:val="18"/>
                        </w:rPr>
                        <w:t>.</w:t>
                      </w:r>
                      <w:r>
                        <w:rPr>
                          <w:rFonts w:asciiTheme="majorHAnsi" w:hAnsiTheme="majorHAnsi"/>
                          <w:color w:val="595959" w:themeColor="text1" w:themeTint="A6"/>
                          <w:sz w:val="18"/>
                        </w:rPr>
                        <w:t xml:space="preserve"> Case </w:t>
                      </w:r>
                      <w:r w:rsidR="00A76DE1">
                        <w:rPr>
                          <w:rFonts w:asciiTheme="majorHAnsi" w:hAnsiTheme="majorHAnsi"/>
                          <w:color w:val="595959" w:themeColor="text1" w:themeTint="A6"/>
                          <w:sz w:val="18"/>
                        </w:rPr>
                        <w:t>13.840</w:t>
                      </w:r>
                      <w:r w:rsidR="00BC2AAB">
                        <w:rPr>
                          <w:rFonts w:asciiTheme="majorHAnsi" w:hAnsiTheme="majorHAnsi"/>
                          <w:color w:val="595959" w:themeColor="text1" w:themeTint="A6"/>
                          <w:sz w:val="18"/>
                        </w:rPr>
                        <w:t>.</w:t>
                      </w:r>
                      <w:r>
                        <w:rPr>
                          <w:rFonts w:asciiTheme="majorHAnsi" w:hAnsiTheme="majorHAnsi"/>
                          <w:color w:val="595959" w:themeColor="text1" w:themeTint="A6"/>
                          <w:sz w:val="18"/>
                        </w:rPr>
                        <w:t xml:space="preserve"> Friendly Settlement</w:t>
                      </w:r>
                      <w:r w:rsidR="00A76DE1">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A76DE1">
                        <w:rPr>
                          <w:rFonts w:asciiTheme="majorHAnsi" w:hAnsiTheme="majorHAnsi"/>
                          <w:color w:val="595959" w:themeColor="text1" w:themeTint="A6"/>
                          <w:sz w:val="18"/>
                        </w:rPr>
                        <w:t>Edwin Hernan Ciro and family</w:t>
                      </w:r>
                      <w:r w:rsidR="00BC2AAB">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BC2AAB">
                        <w:rPr>
                          <w:rFonts w:asciiTheme="majorHAnsi" w:hAnsiTheme="majorHAnsi"/>
                          <w:color w:val="595959" w:themeColor="text1" w:themeTint="A6"/>
                          <w:sz w:val="18"/>
                        </w:rPr>
                        <w:t>Colombia.</w:t>
                      </w:r>
                      <w:r>
                        <w:rPr>
                          <w:rFonts w:asciiTheme="majorHAnsi" w:hAnsiTheme="majorHAnsi"/>
                          <w:color w:val="595959" w:themeColor="text1" w:themeTint="A6"/>
                          <w:sz w:val="18"/>
                        </w:rPr>
                        <w:t xml:space="preserve"> </w:t>
                      </w:r>
                      <w:r w:rsidR="00BC2AAB">
                        <w:rPr>
                          <w:rFonts w:asciiTheme="majorHAnsi" w:hAnsiTheme="majorHAnsi"/>
                          <w:color w:val="595959" w:themeColor="text1" w:themeTint="A6"/>
                          <w:sz w:val="18"/>
                        </w:rPr>
                        <w:t>July 26, 2023</w:t>
                      </w:r>
                      <w:r>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8D5E7A" w14:textId="0D6C9F94" w:rsidR="007A2F70" w:rsidRPr="00FC3EB4" w:rsidRDefault="007A2F70" w:rsidP="00145EDC">
      <w:pPr>
        <w:tabs>
          <w:tab w:val="center" w:pos="5400"/>
        </w:tabs>
        <w:suppressAutoHyphens/>
        <w:spacing w:line="276" w:lineRule="auto"/>
        <w:jc w:val="center"/>
        <w:rPr>
          <w:rFonts w:asciiTheme="majorHAnsi" w:hAnsiTheme="majorHAnsi"/>
          <w:b/>
          <w:sz w:val="18"/>
          <w:szCs w:val="18"/>
        </w:rPr>
      </w:pPr>
      <w:r>
        <w:rPr>
          <w:rFonts w:asciiTheme="majorHAnsi" w:hAnsiTheme="majorHAnsi"/>
          <w:b/>
          <w:bCs/>
          <w:sz w:val="18"/>
          <w:szCs w:val="18"/>
        </w:rPr>
        <w:lastRenderedPageBreak/>
        <w:t xml:space="preserve">REPORT No. </w:t>
      </w:r>
      <w:r w:rsidR="004F5E91">
        <w:rPr>
          <w:rFonts w:asciiTheme="majorHAnsi" w:hAnsiTheme="majorHAnsi"/>
          <w:b/>
          <w:bCs/>
          <w:sz w:val="18"/>
          <w:szCs w:val="18"/>
        </w:rPr>
        <w:t>111</w:t>
      </w:r>
      <w:r>
        <w:rPr>
          <w:rFonts w:asciiTheme="majorHAnsi" w:hAnsiTheme="majorHAnsi"/>
          <w:b/>
          <w:bCs/>
          <w:sz w:val="18"/>
          <w:szCs w:val="18"/>
        </w:rPr>
        <w:t>/23</w:t>
      </w:r>
    </w:p>
    <w:p w14:paraId="706E5665" w14:textId="1A8CE27D" w:rsidR="007A2F70" w:rsidRPr="00FC3EB4" w:rsidRDefault="007A2F70" w:rsidP="00145EDC">
      <w:pPr>
        <w:tabs>
          <w:tab w:val="center" w:pos="5400"/>
        </w:tabs>
        <w:suppressAutoHyphens/>
        <w:spacing w:line="276" w:lineRule="auto"/>
        <w:jc w:val="center"/>
        <w:rPr>
          <w:rFonts w:asciiTheme="majorHAnsi" w:hAnsiTheme="majorHAnsi"/>
          <w:b/>
          <w:sz w:val="18"/>
          <w:szCs w:val="18"/>
        </w:rPr>
      </w:pPr>
      <w:r>
        <w:rPr>
          <w:rFonts w:asciiTheme="majorHAnsi" w:hAnsiTheme="majorHAnsi"/>
          <w:b/>
          <w:bCs/>
          <w:sz w:val="18"/>
          <w:szCs w:val="18"/>
        </w:rPr>
        <w:t>CASE 13.840</w:t>
      </w:r>
    </w:p>
    <w:p w14:paraId="092332EE" w14:textId="6F0C044B" w:rsidR="007A2F70" w:rsidRPr="00FC3EB4" w:rsidRDefault="007A2F70"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 xml:space="preserve">FRIENDLY SETTLEMENT </w:t>
      </w:r>
    </w:p>
    <w:p w14:paraId="26658F48" w14:textId="0001FF3C" w:rsidR="007A2F70" w:rsidRPr="00FC3EB4" w:rsidRDefault="00520D6B"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EDWIN HERNAN CIRO AND FAMILY</w:t>
      </w:r>
    </w:p>
    <w:p w14:paraId="21368730" w14:textId="0E761DA1" w:rsidR="007A2F70" w:rsidRPr="00FC3EB4" w:rsidRDefault="007A2F70" w:rsidP="00145EDC">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COLOMBIA</w:t>
      </w:r>
      <w:r>
        <w:rPr>
          <w:rStyle w:val="FootnoteReference"/>
          <w:rFonts w:asciiTheme="majorHAnsi" w:hAnsiTheme="majorHAnsi"/>
          <w:sz w:val="18"/>
          <w:szCs w:val="18"/>
        </w:rPr>
        <w:footnoteReference w:id="2"/>
      </w:r>
      <w:r>
        <w:rPr>
          <w:rFonts w:asciiTheme="majorHAnsi" w:hAnsiTheme="majorHAnsi"/>
          <w:sz w:val="18"/>
          <w:szCs w:val="18"/>
        </w:rPr>
        <w:br/>
      </w:r>
      <w:r w:rsidR="00705D26" w:rsidRPr="004F5E91">
        <w:rPr>
          <w:rFonts w:asciiTheme="majorHAnsi" w:hAnsiTheme="majorHAnsi"/>
          <w:sz w:val="18"/>
          <w:szCs w:val="18"/>
        </w:rPr>
        <w:t>JULY</w:t>
      </w:r>
      <w:r w:rsidRPr="004F5E91">
        <w:rPr>
          <w:rFonts w:asciiTheme="majorHAnsi" w:hAnsiTheme="majorHAnsi"/>
          <w:sz w:val="18"/>
          <w:szCs w:val="18"/>
        </w:rPr>
        <w:t xml:space="preserve"> </w:t>
      </w:r>
      <w:r w:rsidR="004F5E91">
        <w:rPr>
          <w:rFonts w:asciiTheme="majorHAnsi" w:hAnsiTheme="majorHAnsi"/>
          <w:sz w:val="18"/>
          <w:szCs w:val="18"/>
        </w:rPr>
        <w:t>26</w:t>
      </w:r>
      <w:r>
        <w:rPr>
          <w:rFonts w:asciiTheme="majorHAnsi" w:hAnsiTheme="majorHAnsi"/>
          <w:sz w:val="18"/>
          <w:szCs w:val="18"/>
        </w:rPr>
        <w:t>, 2023</w:t>
      </w:r>
    </w:p>
    <w:p w14:paraId="43ED0199" w14:textId="77777777" w:rsidR="007607C4" w:rsidRDefault="007607C4" w:rsidP="00145EDC">
      <w:pPr>
        <w:tabs>
          <w:tab w:val="center" w:pos="5400"/>
        </w:tabs>
        <w:suppressAutoHyphens/>
        <w:spacing w:line="276" w:lineRule="auto"/>
        <w:rPr>
          <w:rFonts w:asciiTheme="majorHAnsi" w:hAnsiTheme="majorHAnsi"/>
          <w:sz w:val="18"/>
          <w:szCs w:val="18"/>
        </w:rPr>
      </w:pPr>
    </w:p>
    <w:p w14:paraId="0BAF89F2" w14:textId="77777777" w:rsidR="0069155A" w:rsidRPr="0069155A" w:rsidRDefault="0069155A" w:rsidP="00145EDC">
      <w:pPr>
        <w:tabs>
          <w:tab w:val="center" w:pos="5400"/>
        </w:tabs>
        <w:suppressAutoHyphens/>
        <w:spacing w:line="276" w:lineRule="auto"/>
        <w:rPr>
          <w:rFonts w:asciiTheme="majorHAnsi" w:hAnsiTheme="majorHAnsi"/>
          <w:sz w:val="18"/>
          <w:szCs w:val="18"/>
        </w:rPr>
      </w:pPr>
    </w:p>
    <w:p w14:paraId="0574AB1A" w14:textId="77777777" w:rsidR="00FA675D" w:rsidRDefault="00FA675D" w:rsidP="00F70E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Pr>
          <w:b/>
          <w:bCs/>
          <w:kern w:val="36"/>
          <w:sz w:val="20"/>
          <w:szCs w:val="20"/>
        </w:rPr>
        <w:t xml:space="preserve">SUMMARY </w:t>
      </w:r>
      <w:r>
        <w:rPr>
          <w:b/>
          <w:bCs/>
          <w:sz w:val="20"/>
          <w:szCs w:val="20"/>
        </w:rPr>
        <w:t>AND RELEVANT PROCEEDINGS OF THE FRIENDLY SETTLEMENT PROCESS</w:t>
      </w:r>
      <w:r>
        <w:rPr>
          <w:b/>
          <w:bCs/>
          <w:color w:val="000000" w:themeColor="text1"/>
          <w:sz w:val="20"/>
          <w:szCs w:val="20"/>
        </w:rPr>
        <w:t xml:space="preserve"> </w:t>
      </w:r>
    </w:p>
    <w:p w14:paraId="67D4BDB0" w14:textId="77777777" w:rsidR="00DA37B6" w:rsidRDefault="00DA37B6" w:rsidP="00EB560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4C9B68E3" w14:textId="77777777" w:rsidR="00520D6B" w:rsidRPr="008B5C20" w:rsidRDefault="00520D6B" w:rsidP="00F70E8B">
      <w:pPr>
        <w:pStyle w:val="paragraph"/>
        <w:numPr>
          <w:ilvl w:val="0"/>
          <w:numId w:val="56"/>
        </w:numPr>
        <w:spacing w:before="0" w:beforeAutospacing="0" w:after="0" w:afterAutospacing="0"/>
        <w:ind w:left="0" w:firstLine="709"/>
        <w:jc w:val="both"/>
        <w:textAlignment w:val="baseline"/>
        <w:rPr>
          <w:rFonts w:ascii="Cambria" w:hAnsi="Cambria"/>
          <w:sz w:val="20"/>
          <w:szCs w:val="20"/>
        </w:rPr>
      </w:pPr>
      <w:r w:rsidRPr="008B5C20">
        <w:rPr>
          <w:rFonts w:ascii="Cambria" w:hAnsi="Cambria"/>
          <w:color w:val="000000"/>
          <w:sz w:val="20"/>
          <w:szCs w:val="20"/>
        </w:rPr>
        <w:t>On January 28, 2009, the Inter-American Commission on Human Rights (hereinafter "the Commission" or "IACHR") received a petition lodged by Roberto Fernando Paz Salas (hereinafter "the petitioner") alleging that the Republic of Colombia (hereinafter "Colombia" or "the State”) bore international responsibility for the violation of human rights recognized in Articles 4 (right to life), 8 (right to a fair trial), and 25 (right to judicial protection) of the American Convention on Human Rights (hereinafter the "Convention" or "American Convention"), taken in conjunction with Article 1(1) of the same instrument, for the failure to investigate the extrajudicial execution of Mr. Edwin Hernán Ciro on August 27, 1999, allegedly by agents of the Unified Action Group for Personal Liberty (</w:t>
      </w:r>
      <w:r w:rsidRPr="008B5C20">
        <w:rPr>
          <w:rFonts w:ascii="Cambria" w:hAnsi="Cambria"/>
          <w:sz w:val="20"/>
          <w:szCs w:val="20"/>
        </w:rPr>
        <w:t>hereinafter "GAULA") belonging to the National Police, as well as for the subsequent failure to conduct an effective inquiry into the facts and to punish those responsible.</w:t>
      </w:r>
    </w:p>
    <w:p w14:paraId="01139BF8" w14:textId="77777777" w:rsidR="00520D6B" w:rsidRPr="005407C0" w:rsidRDefault="00520D6B" w:rsidP="00EB560E">
      <w:pPr>
        <w:pStyle w:val="paragraph"/>
        <w:spacing w:before="0" w:beforeAutospacing="0" w:after="0" w:afterAutospacing="0"/>
        <w:ind w:left="360"/>
        <w:jc w:val="both"/>
        <w:textAlignment w:val="baseline"/>
        <w:rPr>
          <w:rFonts w:ascii="Cambria" w:hAnsi="Cambria"/>
          <w:sz w:val="20"/>
          <w:szCs w:val="20"/>
          <w:highlight w:val="yellow"/>
        </w:rPr>
      </w:pPr>
      <w:r>
        <w:rPr>
          <w:rFonts w:ascii="Cambria" w:hAnsi="Cambria"/>
          <w:sz w:val="20"/>
          <w:szCs w:val="20"/>
          <w:highlight w:val="yellow"/>
        </w:rPr>
        <w:t xml:space="preserve"> </w:t>
      </w:r>
    </w:p>
    <w:p w14:paraId="685321DA" w14:textId="553FC9E9" w:rsidR="00520D6B" w:rsidRPr="008B5C20" w:rsidRDefault="00520D6B" w:rsidP="00F70E8B">
      <w:pPr>
        <w:pStyle w:val="paragraph"/>
        <w:numPr>
          <w:ilvl w:val="0"/>
          <w:numId w:val="56"/>
        </w:numPr>
        <w:spacing w:before="0" w:beforeAutospacing="0" w:after="0" w:afterAutospacing="0"/>
        <w:ind w:left="0" w:firstLine="709"/>
        <w:jc w:val="both"/>
        <w:textAlignment w:val="baseline"/>
        <w:rPr>
          <w:rFonts w:ascii="Cambria" w:hAnsi="Cambria" w:cs="Segoe UI"/>
          <w:color w:val="000000"/>
          <w:sz w:val="20"/>
          <w:szCs w:val="20"/>
        </w:rPr>
      </w:pPr>
      <w:r w:rsidRPr="008B5C20">
        <w:rPr>
          <w:rFonts w:ascii="Cambria" w:hAnsi="Cambria" w:cs="Segoe UI"/>
          <w:color w:val="000000"/>
          <w:sz w:val="20"/>
          <w:szCs w:val="20"/>
        </w:rPr>
        <w:t xml:space="preserve">On August 13, 2019, the Commission issued </w:t>
      </w:r>
      <w:r w:rsidR="000977C7">
        <w:rPr>
          <w:rFonts w:ascii="Cambria" w:hAnsi="Cambria" w:cs="Segoe UI"/>
          <w:color w:val="000000"/>
          <w:sz w:val="20"/>
          <w:szCs w:val="20"/>
        </w:rPr>
        <w:t>its</w:t>
      </w:r>
      <w:r w:rsidRPr="008B5C20">
        <w:rPr>
          <w:rFonts w:ascii="Cambria" w:hAnsi="Cambria" w:cs="Segoe UI"/>
          <w:color w:val="000000"/>
          <w:sz w:val="20"/>
          <w:szCs w:val="20"/>
        </w:rPr>
        <w:t xml:space="preserve"> Admissibility</w:t>
      </w:r>
      <w:r w:rsidR="000977C7">
        <w:rPr>
          <w:rFonts w:ascii="Cambria" w:hAnsi="Cambria" w:cs="Segoe UI"/>
          <w:color w:val="000000"/>
          <w:sz w:val="20"/>
          <w:szCs w:val="20"/>
        </w:rPr>
        <w:t xml:space="preserve"> Report</w:t>
      </w:r>
      <w:r w:rsidRPr="008B5C20">
        <w:rPr>
          <w:rFonts w:ascii="Cambria" w:hAnsi="Cambria" w:cs="Segoe UI"/>
          <w:color w:val="000000"/>
          <w:sz w:val="20"/>
          <w:szCs w:val="20"/>
        </w:rPr>
        <w:t xml:space="preserve"> 130/19, in which it declared the petition admissible and that it was competent to </w:t>
      </w:r>
      <w:proofErr w:type="spellStart"/>
      <w:r w:rsidR="000977C7">
        <w:rPr>
          <w:rFonts w:ascii="Cambria" w:hAnsi="Cambria" w:cs="Segoe UI"/>
          <w:color w:val="000000"/>
          <w:sz w:val="20"/>
          <w:szCs w:val="20"/>
        </w:rPr>
        <w:t>analize</w:t>
      </w:r>
      <w:proofErr w:type="spellEnd"/>
      <w:r w:rsidR="000977C7">
        <w:rPr>
          <w:rFonts w:ascii="Cambria" w:hAnsi="Cambria" w:cs="Segoe UI"/>
          <w:color w:val="000000"/>
          <w:sz w:val="20"/>
          <w:szCs w:val="20"/>
        </w:rPr>
        <w:t xml:space="preserve"> the</w:t>
      </w:r>
      <w:r w:rsidRPr="008B5C20">
        <w:rPr>
          <w:rFonts w:ascii="Cambria" w:hAnsi="Cambria" w:cs="Segoe UI"/>
          <w:color w:val="000000"/>
          <w:sz w:val="20"/>
          <w:szCs w:val="20"/>
        </w:rPr>
        <w:t xml:space="preserve"> petitioner’s claim regarding the alleged violations of the rights enshrined in Articles 4 (right to life), 5 (right to human treatment), 7 (right to personal liberty), 8 (right to a fair trial), 24 (right to equal protection), and 25 (right to judicial protection) of the American Convention on Human Rights, in relation to the Articles 1(1) and 2 thereof.</w:t>
      </w:r>
    </w:p>
    <w:p w14:paraId="5846A134" w14:textId="77777777" w:rsidR="00520D6B" w:rsidRPr="008B5C20" w:rsidRDefault="00520D6B" w:rsidP="00EB560E">
      <w:pPr>
        <w:pStyle w:val="paragraph"/>
        <w:spacing w:before="0" w:beforeAutospacing="0" w:after="0" w:afterAutospacing="0"/>
        <w:jc w:val="both"/>
        <w:textAlignment w:val="baseline"/>
        <w:rPr>
          <w:rFonts w:ascii="Cambria" w:hAnsi="Cambria" w:cs="Segoe UI"/>
          <w:color w:val="000000"/>
          <w:sz w:val="20"/>
          <w:szCs w:val="20"/>
        </w:rPr>
      </w:pPr>
    </w:p>
    <w:p w14:paraId="28A33A9C" w14:textId="77777777" w:rsidR="00520D6B" w:rsidRPr="000977C7" w:rsidRDefault="00520D6B" w:rsidP="00F70E8B">
      <w:pPr>
        <w:pStyle w:val="paragraph"/>
        <w:numPr>
          <w:ilvl w:val="0"/>
          <w:numId w:val="56"/>
        </w:numPr>
        <w:spacing w:before="0" w:beforeAutospacing="0" w:after="0" w:afterAutospacing="0"/>
        <w:ind w:left="0" w:firstLine="709"/>
        <w:jc w:val="both"/>
        <w:textAlignment w:val="baseline"/>
        <w:rPr>
          <w:rFonts w:ascii="Cambria" w:hAnsi="Cambria" w:cs="Segoe UI"/>
          <w:color w:val="000000"/>
          <w:sz w:val="20"/>
          <w:szCs w:val="20"/>
        </w:rPr>
      </w:pPr>
      <w:r w:rsidRPr="000977C7">
        <w:rPr>
          <w:rFonts w:ascii="Cambria" w:hAnsi="Cambria"/>
          <w:sz w:val="20"/>
          <w:szCs w:val="20"/>
          <w:bdr w:val="none" w:sz="0" w:space="0" w:color="auto" w:frame="1"/>
        </w:rPr>
        <w:t>On November 20, 2019, the petitioner expressed an interest in initiating a friendly settlement process and on November 30, 2021, the State indicated its willingness to move forward with the negotiation.</w:t>
      </w:r>
    </w:p>
    <w:p w14:paraId="190C29AC" w14:textId="77777777" w:rsidR="00520D6B" w:rsidRPr="000977C7" w:rsidRDefault="00520D6B" w:rsidP="00EB560E">
      <w:pPr>
        <w:pStyle w:val="paragraph"/>
        <w:spacing w:before="0" w:beforeAutospacing="0" w:after="0" w:afterAutospacing="0"/>
        <w:jc w:val="both"/>
        <w:textAlignment w:val="baseline"/>
        <w:rPr>
          <w:rFonts w:ascii="Cambria" w:hAnsi="Cambria" w:cs="Segoe UI"/>
          <w:color w:val="000000"/>
          <w:sz w:val="20"/>
          <w:szCs w:val="20"/>
        </w:rPr>
      </w:pPr>
    </w:p>
    <w:p w14:paraId="02A76B67" w14:textId="77777777" w:rsidR="00520D6B" w:rsidRPr="000977C7" w:rsidRDefault="00520D6B" w:rsidP="00F70E8B">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0977C7">
        <w:rPr>
          <w:rFonts w:ascii="Cambria" w:hAnsi="Cambria" w:cs="Segoe UI"/>
          <w:color w:val="000000"/>
          <w:sz w:val="20"/>
          <w:szCs w:val="20"/>
        </w:rPr>
        <w:t xml:space="preserve">On February 15, 2022, the Commission formally notified the parties of the initiation of the procedure and, on March 28, 2022, the parties signed a memorandum of understanding with a view to seeking a friendly settlement, in which they agreed on a negotiation schedule, which culminated in the signing of a friendly settlement agreement (FSA) on July 26, 2022. Subsequently, on October 31, 2022, the parties jointly submitted a progress report on compliance with the FSA and requested its approval. </w:t>
      </w:r>
    </w:p>
    <w:p w14:paraId="6BCFFF92" w14:textId="77777777" w:rsidR="00520D6B" w:rsidRPr="005407C0" w:rsidRDefault="00520D6B" w:rsidP="00EB560E">
      <w:pPr>
        <w:pStyle w:val="paragraph"/>
        <w:spacing w:before="0" w:beforeAutospacing="0" w:after="0" w:afterAutospacing="0"/>
        <w:ind w:left="720"/>
        <w:jc w:val="both"/>
        <w:textAlignment w:val="baseline"/>
        <w:rPr>
          <w:rFonts w:ascii="Cambria" w:hAnsi="Cambria" w:cs="Segoe UI"/>
          <w:sz w:val="20"/>
          <w:szCs w:val="20"/>
          <w:highlight w:val="yellow"/>
        </w:rPr>
      </w:pPr>
    </w:p>
    <w:p w14:paraId="258C63E0" w14:textId="77777777" w:rsidR="00520D6B" w:rsidRPr="000977C7" w:rsidRDefault="00520D6B" w:rsidP="00F70E8B">
      <w:pPr>
        <w:pStyle w:val="paragraph"/>
        <w:numPr>
          <w:ilvl w:val="0"/>
          <w:numId w:val="56"/>
        </w:numPr>
        <w:spacing w:before="0" w:beforeAutospacing="0" w:after="0" w:afterAutospacing="0"/>
        <w:ind w:left="0" w:firstLine="720"/>
        <w:jc w:val="both"/>
        <w:textAlignment w:val="baseline"/>
        <w:rPr>
          <w:rFonts w:ascii="Cambria" w:hAnsi="Cambria" w:cs="Segoe UI"/>
          <w:strike/>
          <w:sz w:val="20"/>
          <w:szCs w:val="20"/>
        </w:rPr>
      </w:pPr>
      <w:r w:rsidRPr="000977C7">
        <w:rPr>
          <w:rFonts w:ascii="Cambria" w:hAnsi="Cambria" w:cs="Segoe UI"/>
          <w:color w:val="000000"/>
          <w:sz w:val="20"/>
          <w:szCs w:val="20"/>
        </w:rPr>
        <w:t>Pursuant to Articles 49 of the American Convention and 40(5) of the Commission’s Rules of Procedure, this friendly settlement report includes a summary of the petitioner’s allegations and transcribes the friendly settlement agreement signed on July 26, 2022, by the petitioner and representatives of the Colombian State. Also, the Commission hereby approves the agreement signed by the parties and decides to publish this report in its Annual Report to the General Assembly of the Organization of American States</w:t>
      </w:r>
      <w:r w:rsidRPr="000977C7">
        <w:rPr>
          <w:rStyle w:val="normaltextrun"/>
          <w:rFonts w:ascii="Cambria" w:hAnsi="Cambria" w:cs="Segoe UI"/>
          <w:color w:val="000000"/>
          <w:sz w:val="20"/>
          <w:szCs w:val="20"/>
        </w:rPr>
        <w:t>.</w:t>
      </w:r>
    </w:p>
    <w:p w14:paraId="0CDF31C9" w14:textId="77777777" w:rsidR="00DA37B6" w:rsidRPr="00520D6B" w:rsidRDefault="00DA37B6" w:rsidP="00EB560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Default="00FA675D" w:rsidP="00F70E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Pr>
          <w:b/>
          <w:bCs/>
          <w:kern w:val="36"/>
          <w:sz w:val="20"/>
          <w:szCs w:val="20"/>
        </w:rPr>
        <w:t>THE FACTS ALLEGED</w:t>
      </w:r>
      <w:r>
        <w:rPr>
          <w:b/>
          <w:bCs/>
          <w:color w:val="000000" w:themeColor="text1"/>
          <w:sz w:val="20"/>
          <w:szCs w:val="20"/>
        </w:rPr>
        <w:t xml:space="preserve"> </w:t>
      </w:r>
    </w:p>
    <w:p w14:paraId="47E28A2F" w14:textId="77777777" w:rsidR="00DA37B6" w:rsidRDefault="00DA37B6" w:rsidP="00EB560E">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7CD920B2" w14:textId="0037B98C" w:rsidR="007804C0" w:rsidRDefault="007804C0" w:rsidP="00F70E8B">
      <w:pPr>
        <w:pStyle w:val="ListParagraph"/>
        <w:numPr>
          <w:ilvl w:val="0"/>
          <w:numId w:val="56"/>
        </w:numPr>
        <w:tabs>
          <w:tab w:val="clear" w:pos="360"/>
          <w:tab w:val="num" w:pos="720"/>
        </w:tabs>
        <w:suppressAutoHyphens/>
        <w:ind w:left="0" w:firstLine="720"/>
        <w:jc w:val="both"/>
        <w:rPr>
          <w:sz w:val="20"/>
          <w:szCs w:val="20"/>
        </w:rPr>
      </w:pPr>
      <w:r>
        <w:rPr>
          <w:sz w:val="20"/>
          <w:szCs w:val="20"/>
        </w:rPr>
        <w:t xml:space="preserve">The petitioner indicated that on August 27, 1999 in the Municipality of San Rafael, department of Antioquia, at dawn, while Mr. Edwin Hernán Ciro (hereinafter "the alleged victim") and his family were sleeping, a group of armed persons broke down the door of their home and entered violently without any type of judicial order or search warrant. He said that the men were agents of the Unified Action Group for Personal Liberty (GAULA), belonging to the National Police, as they were wearing uniforms and had police insignia. He stated that they proceeded to identify and tie up the alleged victim, and despite requesting to be allowed to put on his shoes, they shouted that where he was going he would not need them and subsequently they took him </w:t>
      </w:r>
      <w:r>
        <w:rPr>
          <w:sz w:val="20"/>
          <w:szCs w:val="20"/>
        </w:rPr>
        <w:lastRenderedPageBreak/>
        <w:t xml:space="preserve">away in a van. The relatives of the alleged victim indicate that after a few minutes they heard shots very close to his house. Additionally, the petitioner said that they searched the whole house, including their belongings, destroying some, and took away valuables, including an amount of money they kept. </w:t>
      </w:r>
    </w:p>
    <w:p w14:paraId="0D45F0A9" w14:textId="77777777" w:rsidR="0026427B" w:rsidRPr="0026427B" w:rsidRDefault="0026427B" w:rsidP="0026427B">
      <w:pPr>
        <w:pStyle w:val="ListParagraph"/>
        <w:suppressAutoHyphens/>
        <w:jc w:val="both"/>
        <w:rPr>
          <w:sz w:val="20"/>
          <w:szCs w:val="20"/>
        </w:rPr>
      </w:pPr>
    </w:p>
    <w:p w14:paraId="30C84287" w14:textId="1F5A00FF" w:rsidR="007804C0" w:rsidRPr="0026427B" w:rsidRDefault="007804C0" w:rsidP="00F70E8B">
      <w:pPr>
        <w:numPr>
          <w:ilvl w:val="0"/>
          <w:numId w:val="56"/>
        </w:numPr>
        <w:tabs>
          <w:tab w:val="clear" w:pos="360"/>
          <w:tab w:val="num" w:pos="720"/>
        </w:tabs>
        <w:suppressAutoHyphens/>
        <w:ind w:left="0" w:firstLine="720"/>
        <w:jc w:val="both"/>
        <w:rPr>
          <w:rFonts w:ascii="Cambria" w:eastAsia="Cambria" w:hAnsi="Cambria" w:cs="Cambria"/>
          <w:color w:val="000000"/>
          <w:sz w:val="20"/>
          <w:szCs w:val="20"/>
          <w:u w:color="000000"/>
        </w:rPr>
      </w:pPr>
      <w:r>
        <w:rPr>
          <w:rFonts w:ascii="Cambria" w:eastAsia="Cambria" w:hAnsi="Cambria" w:cs="Cambria"/>
          <w:sz w:val="20"/>
          <w:szCs w:val="20"/>
          <w:u w:color="000000"/>
        </w:rPr>
        <w:t>The petitioner said that that afternoon, neighbors saw the trucks allegedly used in the operation in front of the police station; they also said that the police had killed two people and that their bodies were on the road to the Municipality of Guatapé. According to the petitioner, one of the bodies belonged to the alleged victim and had multiple gunshots in the back, as evidenced by the corpse removal certificate and the autopsy.</w:t>
      </w:r>
    </w:p>
    <w:p w14:paraId="326D5D84" w14:textId="77777777" w:rsidR="0026427B" w:rsidRPr="0026427B" w:rsidRDefault="0026427B" w:rsidP="0026427B">
      <w:pPr>
        <w:suppressAutoHyphens/>
        <w:jc w:val="both"/>
        <w:rPr>
          <w:rFonts w:ascii="Cambria" w:eastAsia="Cambria" w:hAnsi="Cambria" w:cs="Cambria"/>
          <w:color w:val="000000"/>
          <w:sz w:val="20"/>
          <w:szCs w:val="20"/>
          <w:u w:color="000000"/>
        </w:rPr>
      </w:pPr>
    </w:p>
    <w:p w14:paraId="0DAD043F" w14:textId="77777777" w:rsidR="007804C0" w:rsidRDefault="007804C0" w:rsidP="00F70E8B">
      <w:pPr>
        <w:numPr>
          <w:ilvl w:val="0"/>
          <w:numId w:val="56"/>
        </w:numPr>
        <w:tabs>
          <w:tab w:val="clear" w:pos="360"/>
          <w:tab w:val="num" w:pos="720"/>
        </w:tabs>
        <w:suppressAutoHyphens/>
        <w:ind w:left="0" w:firstLine="720"/>
        <w:jc w:val="both"/>
        <w:rPr>
          <w:rFonts w:ascii="Cambria" w:eastAsia="Cambria" w:hAnsi="Cambria" w:cs="Cambria"/>
          <w:sz w:val="20"/>
          <w:szCs w:val="20"/>
          <w:u w:color="000000"/>
        </w:rPr>
      </w:pPr>
      <w:r>
        <w:rPr>
          <w:rFonts w:ascii="Cambria" w:eastAsia="Cambria" w:hAnsi="Cambria" w:cs="Cambria"/>
          <w:sz w:val="20"/>
          <w:szCs w:val="20"/>
          <w:u w:color="000000"/>
        </w:rPr>
        <w:t>The petitioner said that an investigation was opened in the military criminal jurisdiction and that after a declaration of lack of competence, the case was referred to the 93rd Delegate Prosecutor's Office in the ordinary jurisdiction, without producing any known results to date.</w:t>
      </w:r>
    </w:p>
    <w:p w14:paraId="6D9E1203" w14:textId="77777777" w:rsidR="0026427B" w:rsidRPr="0026427B" w:rsidRDefault="0026427B" w:rsidP="0026427B">
      <w:pPr>
        <w:suppressAutoHyphens/>
        <w:jc w:val="both"/>
        <w:rPr>
          <w:rFonts w:ascii="Cambria" w:eastAsia="Cambria" w:hAnsi="Cambria" w:cs="Cambria"/>
          <w:sz w:val="20"/>
          <w:szCs w:val="20"/>
          <w:u w:color="000000"/>
        </w:rPr>
      </w:pPr>
    </w:p>
    <w:p w14:paraId="41889823" w14:textId="068E61C8" w:rsidR="007804C0" w:rsidRDefault="007804C0" w:rsidP="00F70E8B">
      <w:pPr>
        <w:pStyle w:val="ListParagraph"/>
        <w:numPr>
          <w:ilvl w:val="0"/>
          <w:numId w:val="56"/>
        </w:numPr>
        <w:tabs>
          <w:tab w:val="clear" w:pos="360"/>
          <w:tab w:val="num" w:pos="720"/>
        </w:tabs>
        <w:ind w:left="0" w:firstLine="720"/>
        <w:jc w:val="both"/>
        <w:rPr>
          <w:color w:val="auto"/>
          <w:sz w:val="20"/>
          <w:szCs w:val="20"/>
        </w:rPr>
      </w:pPr>
      <w:r>
        <w:rPr>
          <w:color w:val="auto"/>
          <w:sz w:val="20"/>
          <w:szCs w:val="20"/>
        </w:rPr>
        <w:t>In addition, the petitioner said that the family of the alleged victim filed a direct reparation action with the Administrative Tribunal of Antioquia. He said that it was denied on April 24, 2008, on the grounds that there was no proof of any link to the acts being carried out by the National Police. The petitioner said that they filed an appeal, which on July 14, 2008 was declared inadmissible by the Fifth Chamber of Decision of the Administrative Tribunal of Antioquia because of the amount of the claims.</w:t>
      </w:r>
    </w:p>
    <w:p w14:paraId="0E26C4C6" w14:textId="77777777" w:rsidR="0026427B" w:rsidRPr="0026427B" w:rsidRDefault="0026427B" w:rsidP="0026427B">
      <w:pPr>
        <w:jc w:val="both"/>
        <w:rPr>
          <w:sz w:val="20"/>
          <w:szCs w:val="20"/>
        </w:rPr>
      </w:pPr>
    </w:p>
    <w:p w14:paraId="5A52533E" w14:textId="4C80A48A" w:rsidR="00E22563" w:rsidRPr="0026427B" w:rsidRDefault="00E22563" w:rsidP="00F70E8B">
      <w:pPr>
        <w:pStyle w:val="ListParagraph"/>
        <w:numPr>
          <w:ilvl w:val="0"/>
          <w:numId w:val="56"/>
        </w:numPr>
        <w:tabs>
          <w:tab w:val="clear" w:pos="360"/>
          <w:tab w:val="num" w:pos="720"/>
        </w:tabs>
        <w:suppressAutoHyphens/>
        <w:ind w:left="0" w:firstLine="720"/>
        <w:jc w:val="both"/>
        <w:rPr>
          <w:color w:val="auto"/>
          <w:sz w:val="20"/>
          <w:szCs w:val="20"/>
        </w:rPr>
      </w:pPr>
      <w:r>
        <w:rPr>
          <w:sz w:val="20"/>
          <w:szCs w:val="20"/>
        </w:rPr>
        <w:t xml:space="preserve">According to the petitioner, the murder of the alleged victim remains unpunished because the investigations have so far failed to identify those responsible. He also said that the family of Mr. Edwin Ciro could had been unable to make use of an effective remedy, since they were denied the appeal to the State Council to obtain compensation. </w:t>
      </w:r>
    </w:p>
    <w:p w14:paraId="0EFEAE48" w14:textId="77777777" w:rsidR="00DA37B6" w:rsidRPr="00DA37B6" w:rsidRDefault="00DA37B6" w:rsidP="0026427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Default="00FA675D" w:rsidP="00F70E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Pr>
          <w:rFonts w:ascii="Cambria" w:eastAsia="MS Mincho" w:hAnsi="Cambria" w:cstheme="minorHAnsi"/>
          <w:b/>
          <w:bCs/>
          <w:color w:val="000000" w:themeColor="text1"/>
          <w:sz w:val="20"/>
          <w:szCs w:val="20"/>
        </w:rPr>
        <w:t>FRIENDLY SETTLEMENT</w:t>
      </w:r>
    </w:p>
    <w:p w14:paraId="1009841C" w14:textId="77777777" w:rsidR="00DA37B6" w:rsidRDefault="00DA37B6" w:rsidP="0026427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173AE369" w14:textId="77777777" w:rsidR="00B83DF6" w:rsidRPr="008E619A" w:rsidRDefault="00B83DF6" w:rsidP="00F70E8B">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8E619A">
        <w:rPr>
          <w:rFonts w:ascii="Cambria" w:hAnsi="Cambria" w:cs="Segoe UI"/>
          <w:sz w:val="20"/>
          <w:szCs w:val="20"/>
        </w:rPr>
        <w:t>On July 26, 2022, the parties signed a friendly settlement agreement, which provides the following:</w:t>
      </w:r>
    </w:p>
    <w:p w14:paraId="4932E665" w14:textId="77777777" w:rsidR="00B83DF6" w:rsidRPr="00FF60B6" w:rsidRDefault="00B83DF6" w:rsidP="00B83DF6">
      <w:pPr>
        <w:pStyle w:val="paragraph"/>
        <w:spacing w:before="0" w:beforeAutospacing="0" w:after="0" w:afterAutospacing="0"/>
        <w:jc w:val="both"/>
        <w:textAlignment w:val="baseline"/>
        <w:rPr>
          <w:rFonts w:ascii="Cambria" w:hAnsi="Cambria" w:cs="Segoe UI"/>
          <w:sz w:val="20"/>
          <w:szCs w:val="20"/>
          <w:highlight w:val="yellow"/>
        </w:rPr>
      </w:pPr>
    </w:p>
    <w:p w14:paraId="40BD93D2" w14:textId="77777777" w:rsidR="00B83DF6" w:rsidRPr="008E619A" w:rsidRDefault="00B83DF6" w:rsidP="00B83DF6">
      <w:pPr>
        <w:pStyle w:val="NormalWeb"/>
        <w:spacing w:before="0" w:beforeAutospacing="0" w:after="0" w:afterAutospacing="0"/>
        <w:ind w:left="720" w:right="720"/>
        <w:jc w:val="center"/>
        <w:rPr>
          <w:rFonts w:ascii="Cambria" w:hAnsi="Cambria"/>
          <w:b/>
          <w:bCs/>
          <w:color w:val="000000"/>
          <w:sz w:val="20"/>
          <w:szCs w:val="20"/>
        </w:rPr>
      </w:pPr>
      <w:r w:rsidRPr="008E619A">
        <w:rPr>
          <w:rFonts w:ascii="Cambria" w:hAnsi="Cambria"/>
          <w:b/>
          <w:bCs/>
          <w:color w:val="000000"/>
          <w:sz w:val="20"/>
          <w:szCs w:val="20"/>
        </w:rPr>
        <w:t>FRIENDLY SETTLEMENT AGREEMENT</w:t>
      </w:r>
    </w:p>
    <w:p w14:paraId="43DCC50B" w14:textId="77777777" w:rsidR="00B83DF6" w:rsidRPr="008E619A" w:rsidRDefault="00B83DF6" w:rsidP="00B83DF6">
      <w:pPr>
        <w:pStyle w:val="NormalWeb"/>
        <w:spacing w:before="0" w:beforeAutospacing="0" w:after="0" w:afterAutospacing="0"/>
        <w:ind w:left="720" w:right="720"/>
        <w:jc w:val="center"/>
        <w:rPr>
          <w:rFonts w:ascii="Cambria" w:hAnsi="Cambria"/>
          <w:b/>
          <w:bCs/>
          <w:color w:val="000000"/>
          <w:sz w:val="20"/>
          <w:szCs w:val="20"/>
        </w:rPr>
      </w:pPr>
      <w:r w:rsidRPr="008E619A">
        <w:rPr>
          <w:rFonts w:ascii="Cambria" w:hAnsi="Cambria"/>
          <w:b/>
          <w:bCs/>
          <w:color w:val="000000"/>
          <w:sz w:val="20"/>
          <w:szCs w:val="20"/>
        </w:rPr>
        <w:t>Case No. 13.840 – Edwin Hernán Ciro and Family</w:t>
      </w:r>
    </w:p>
    <w:p w14:paraId="0780041A" w14:textId="77777777" w:rsidR="00B83DF6" w:rsidRPr="008E619A" w:rsidRDefault="00B83DF6" w:rsidP="00B83DF6">
      <w:pPr>
        <w:pStyle w:val="NormalWeb"/>
        <w:spacing w:before="0" w:beforeAutospacing="0" w:after="0" w:afterAutospacing="0"/>
        <w:ind w:left="720" w:right="720"/>
        <w:jc w:val="center"/>
        <w:rPr>
          <w:rFonts w:ascii="Cambria" w:hAnsi="Cambria"/>
          <w:b/>
          <w:bCs/>
          <w:color w:val="000000"/>
          <w:sz w:val="20"/>
          <w:szCs w:val="20"/>
        </w:rPr>
      </w:pPr>
    </w:p>
    <w:p w14:paraId="552A0966"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color w:val="000000"/>
          <w:sz w:val="20"/>
          <w:szCs w:val="20"/>
        </w:rPr>
        <w:t>On July 26, 2022, the following met in the city of Bogotá, on the one hand, Giovanny Andrés Vega Barbosa, Acting Director of the International Legal Defense Directorate of the National Agency for the Legal Defense of the State, acting with due authorization on behalf and in representation of the Colombian State (hereinafter the "State" or the "Colombian State), and, on the other hand, the organization Indemnizaciones Paz Abogados, represented in this act by Dr. Roberto Fernando Paz Salas, acting in his capacity as representative of the victims (hereinafter the "petitioner”), who have decided to enter into this Friendly Settlement Agreement in Case No. 13.840, Edwin Hernán Ciro and Family, currently before the Inter-American Commission on Human Rights.</w:t>
      </w:r>
    </w:p>
    <w:p w14:paraId="48B7717C"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40897D4F" w14:textId="1BA85531" w:rsidR="00B83DF6" w:rsidRPr="008E619A" w:rsidRDefault="00B83DF6" w:rsidP="00B83DF6">
      <w:pPr>
        <w:pStyle w:val="NormalWeb"/>
        <w:spacing w:before="0" w:beforeAutospacing="0" w:after="0" w:afterAutospacing="0"/>
        <w:ind w:left="720" w:right="720"/>
        <w:jc w:val="center"/>
        <w:rPr>
          <w:rFonts w:ascii="Cambria" w:hAnsi="Cambria"/>
          <w:b/>
          <w:bCs/>
          <w:color w:val="000000"/>
          <w:sz w:val="20"/>
          <w:szCs w:val="20"/>
        </w:rPr>
      </w:pPr>
      <w:r w:rsidRPr="008E619A">
        <w:rPr>
          <w:rFonts w:ascii="Cambria" w:hAnsi="Cambria"/>
          <w:b/>
          <w:bCs/>
          <w:color w:val="000000"/>
          <w:sz w:val="20"/>
          <w:szCs w:val="20"/>
        </w:rPr>
        <w:t>PART ONE</w:t>
      </w:r>
      <w:r w:rsidR="008E619A">
        <w:rPr>
          <w:rFonts w:ascii="Cambria" w:hAnsi="Cambria"/>
          <w:b/>
          <w:bCs/>
          <w:color w:val="000000"/>
          <w:sz w:val="20"/>
          <w:szCs w:val="20"/>
        </w:rPr>
        <w:t>:</w:t>
      </w:r>
      <w:r w:rsidRPr="008E619A">
        <w:rPr>
          <w:rFonts w:ascii="Cambria" w:hAnsi="Cambria"/>
          <w:b/>
          <w:bCs/>
          <w:color w:val="000000"/>
          <w:sz w:val="20"/>
          <w:szCs w:val="20"/>
        </w:rPr>
        <w:t xml:space="preserve"> DEFINITIONS</w:t>
      </w:r>
    </w:p>
    <w:p w14:paraId="759922AD"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0ED44508"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color w:val="000000"/>
          <w:sz w:val="20"/>
          <w:szCs w:val="20"/>
        </w:rPr>
        <w:t>For the purposes of this Agreement, the following definitions shall apply.</w:t>
      </w:r>
    </w:p>
    <w:p w14:paraId="0068F2E4"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553AC408"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b/>
          <w:bCs/>
          <w:color w:val="000000"/>
          <w:sz w:val="20"/>
          <w:szCs w:val="20"/>
          <w:u w:val="single"/>
        </w:rPr>
        <w:t>IACHR or Inter-American Commission:</w:t>
      </w:r>
      <w:r w:rsidRPr="008E619A">
        <w:rPr>
          <w:rFonts w:ascii="Cambria" w:hAnsi="Cambria"/>
          <w:color w:val="000000"/>
          <w:sz w:val="20"/>
          <w:szCs w:val="20"/>
        </w:rPr>
        <w:t xml:space="preserve"> Inter-American Commission on Human Rights,</w:t>
      </w:r>
    </w:p>
    <w:p w14:paraId="4A7F5161"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1161E2BD"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b/>
          <w:bCs/>
          <w:color w:val="000000"/>
          <w:sz w:val="20"/>
          <w:szCs w:val="20"/>
          <w:u w:val="single"/>
        </w:rPr>
        <w:t>Moral damages:</w:t>
      </w:r>
      <w:r w:rsidRPr="008E619A">
        <w:rPr>
          <w:rFonts w:ascii="Cambria" w:hAnsi="Cambria"/>
          <w:color w:val="000000"/>
          <w:sz w:val="20"/>
          <w:szCs w:val="20"/>
        </w:rPr>
        <w:t xml:space="preserve"> Injurious effects of the facts of the case that are not of an economic or financial nature, as manifested in the grief, affliction, sadness, distress, and anxiety of the victims.</w:t>
      </w:r>
    </w:p>
    <w:p w14:paraId="734420BC"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17A8AF5B"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b/>
          <w:bCs/>
          <w:color w:val="000000"/>
          <w:sz w:val="20"/>
          <w:szCs w:val="20"/>
          <w:u w:val="single"/>
        </w:rPr>
        <w:t>Pecuniary damages:</w:t>
      </w:r>
      <w:r w:rsidRPr="008E619A">
        <w:rPr>
          <w:rFonts w:ascii="Cambria" w:hAnsi="Cambria"/>
          <w:color w:val="000000"/>
          <w:sz w:val="20"/>
          <w:szCs w:val="20"/>
        </w:rPr>
        <w:t xml:space="preserve"> The loss of or harm to the income of the victims, the expenditure incurred as a result of the facts, and the pecuniary consequences that have a causal link to the facts of the case.</w:t>
      </w:r>
      <w:r w:rsidRPr="008E619A">
        <w:rPr>
          <w:rStyle w:val="FootnoteReference"/>
          <w:rFonts w:ascii="Cambria" w:eastAsia="Trebuchet MS" w:hAnsi="Cambria"/>
          <w:sz w:val="20"/>
          <w:szCs w:val="20"/>
        </w:rPr>
        <w:footnoteReference w:id="3"/>
      </w:r>
    </w:p>
    <w:p w14:paraId="3D5BEEA1"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0ADE75A7"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b/>
          <w:bCs/>
          <w:color w:val="000000"/>
          <w:sz w:val="20"/>
          <w:szCs w:val="20"/>
          <w:u w:val="single"/>
        </w:rPr>
        <w:t>Non-pecuniary damages</w:t>
      </w:r>
      <w:r w:rsidRPr="008E619A">
        <w:rPr>
          <w:rFonts w:ascii="Cambria" w:hAnsi="Cambria"/>
          <w:color w:val="000000"/>
          <w:sz w:val="20"/>
          <w:szCs w:val="20"/>
        </w:rPr>
        <w:t xml:space="preserve"> This includes suffering and affliction caused to the direct victims and their next of kin, detriment to very significant personal values, as well as non-pecuniary alterations in the conditions of existence of a victim or his or her family.</w:t>
      </w:r>
      <w:r w:rsidRPr="008E619A">
        <w:rPr>
          <w:rStyle w:val="FootnoteReference"/>
          <w:rFonts w:ascii="Cambria" w:eastAsia="Trebuchet MS" w:hAnsi="Cambria"/>
          <w:sz w:val="20"/>
          <w:szCs w:val="20"/>
        </w:rPr>
        <w:footnoteReference w:id="4"/>
      </w:r>
    </w:p>
    <w:p w14:paraId="13542F02"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1F9C2111"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b/>
          <w:bCs/>
          <w:color w:val="000000"/>
          <w:sz w:val="20"/>
          <w:szCs w:val="20"/>
          <w:u w:val="single"/>
        </w:rPr>
        <w:t>State or Colombian State:</w:t>
      </w:r>
      <w:r w:rsidRPr="008E619A">
        <w:rPr>
          <w:rFonts w:ascii="Cambria" w:hAnsi="Cambria"/>
          <w:b/>
          <w:bCs/>
          <w:color w:val="000000"/>
          <w:sz w:val="20"/>
          <w:szCs w:val="20"/>
        </w:rPr>
        <w:t xml:space="preserve"> </w:t>
      </w:r>
      <w:r w:rsidRPr="008E619A">
        <w:rPr>
          <w:rFonts w:ascii="Cambria" w:hAnsi="Cambria"/>
          <w:color w:val="000000"/>
          <w:sz w:val="20"/>
          <w:szCs w:val="20"/>
        </w:rPr>
        <w:t>In accordance with Public International Law, the State is understood as the signatory of the American Convention on Human Rights.</w:t>
      </w:r>
    </w:p>
    <w:p w14:paraId="43AD4BA3"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6A3B8A79"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b/>
          <w:bCs/>
          <w:color w:val="000000"/>
          <w:sz w:val="20"/>
          <w:szCs w:val="20"/>
          <w:u w:val="single"/>
        </w:rPr>
        <w:t>Satisfaction measures:</w:t>
      </w:r>
      <w:r w:rsidRPr="008E619A">
        <w:rPr>
          <w:rFonts w:ascii="Cambria" w:hAnsi="Cambria"/>
          <w:color w:val="000000"/>
          <w:sz w:val="20"/>
          <w:szCs w:val="20"/>
        </w:rPr>
        <w:t xml:space="preserve"> Non-pecuniary measures designed to enable the recovery of the victims from the harm caused to them. Examples of such measures include public disclosure of the truth and acts of atonement.</w:t>
      </w:r>
    </w:p>
    <w:p w14:paraId="093C3122"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65358B6A"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b/>
          <w:bCs/>
          <w:color w:val="000000"/>
          <w:sz w:val="20"/>
          <w:szCs w:val="20"/>
          <w:u w:val="single"/>
        </w:rPr>
        <w:t>Parties:</w:t>
      </w:r>
      <w:r w:rsidRPr="008E619A">
        <w:rPr>
          <w:rFonts w:ascii="Cambria" w:hAnsi="Cambria"/>
          <w:color w:val="000000"/>
          <w:sz w:val="20"/>
          <w:szCs w:val="20"/>
        </w:rPr>
        <w:t xml:space="preserve"> State of Colombia, relatives of the victims, and their representatives.</w:t>
      </w:r>
    </w:p>
    <w:p w14:paraId="523245D6"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6DAE04E5"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r w:rsidRPr="008E619A">
        <w:rPr>
          <w:rFonts w:ascii="Cambria" w:hAnsi="Cambria"/>
          <w:b/>
          <w:bCs/>
          <w:color w:val="000000"/>
          <w:sz w:val="20"/>
          <w:szCs w:val="20"/>
          <w:u w:val="single"/>
        </w:rPr>
        <w:t>Acknowledgement of responsibility</w:t>
      </w:r>
      <w:r w:rsidRPr="008E619A">
        <w:rPr>
          <w:rFonts w:ascii="Cambria" w:hAnsi="Cambria"/>
          <w:color w:val="000000"/>
          <w:sz w:val="20"/>
          <w:szCs w:val="20"/>
        </w:rPr>
        <w:t xml:space="preserve"> Acceptance of the acts and omissions attributed to the State that violate one or more of its obligations under international human rights law.</w:t>
      </w:r>
    </w:p>
    <w:p w14:paraId="47FEC372" w14:textId="77777777" w:rsidR="00B83DF6" w:rsidRPr="008E619A" w:rsidRDefault="00B83DF6" w:rsidP="00B83DF6">
      <w:pPr>
        <w:pStyle w:val="NormalWeb"/>
        <w:spacing w:before="0" w:beforeAutospacing="0" w:after="0" w:afterAutospacing="0"/>
        <w:ind w:left="720" w:right="720"/>
        <w:jc w:val="both"/>
        <w:rPr>
          <w:rFonts w:ascii="Cambria" w:hAnsi="Cambria"/>
          <w:color w:val="000000"/>
          <w:sz w:val="20"/>
          <w:szCs w:val="20"/>
        </w:rPr>
      </w:pPr>
    </w:p>
    <w:p w14:paraId="139CC8CE" w14:textId="2E393519" w:rsidR="00B83DF6" w:rsidRPr="0059404F" w:rsidRDefault="00B83DF6" w:rsidP="00B83DF6">
      <w:pPr>
        <w:pStyle w:val="NormalWeb"/>
        <w:spacing w:before="0" w:beforeAutospacing="0" w:after="0" w:afterAutospacing="0"/>
        <w:ind w:left="720" w:right="720"/>
        <w:jc w:val="both"/>
        <w:rPr>
          <w:rFonts w:ascii="Cambria" w:hAnsi="Cambria"/>
          <w:color w:val="000000"/>
          <w:sz w:val="20"/>
          <w:szCs w:val="20"/>
        </w:rPr>
      </w:pPr>
      <w:r w:rsidRPr="0059404F">
        <w:rPr>
          <w:rFonts w:ascii="Cambria" w:hAnsi="Cambria"/>
          <w:b/>
          <w:bCs/>
          <w:color w:val="000000"/>
          <w:sz w:val="20"/>
          <w:szCs w:val="20"/>
          <w:u w:val="single"/>
        </w:rPr>
        <w:t xml:space="preserve">Comprehensive </w:t>
      </w:r>
      <w:r w:rsidR="005A01A6" w:rsidRPr="0059404F">
        <w:rPr>
          <w:rFonts w:ascii="Cambria" w:hAnsi="Cambria"/>
          <w:b/>
          <w:bCs/>
          <w:color w:val="000000"/>
          <w:sz w:val="20"/>
          <w:szCs w:val="20"/>
          <w:u w:val="single"/>
        </w:rPr>
        <w:t>reparations</w:t>
      </w:r>
      <w:r w:rsidRPr="0059404F">
        <w:rPr>
          <w:rFonts w:ascii="Cambria" w:hAnsi="Cambria"/>
          <w:b/>
          <w:bCs/>
          <w:color w:val="000000"/>
          <w:sz w:val="20"/>
          <w:szCs w:val="20"/>
          <w:u w:val="single"/>
        </w:rPr>
        <w:t>:</w:t>
      </w:r>
      <w:r w:rsidRPr="0059404F">
        <w:rPr>
          <w:rFonts w:ascii="Cambria" w:hAnsi="Cambria"/>
          <w:color w:val="000000"/>
          <w:sz w:val="20"/>
          <w:szCs w:val="20"/>
        </w:rPr>
        <w:t xml:space="preserve"> All those measures that objectively and symbolically restore the victim to their state prior to the commission of the harm.</w:t>
      </w:r>
    </w:p>
    <w:p w14:paraId="00D038E4" w14:textId="77777777" w:rsidR="00B83DF6" w:rsidRPr="0059404F" w:rsidRDefault="00B83DF6" w:rsidP="00B83DF6">
      <w:pPr>
        <w:pStyle w:val="NormalWeb"/>
        <w:spacing w:before="0" w:beforeAutospacing="0" w:after="0" w:afterAutospacing="0"/>
        <w:ind w:left="720" w:right="720"/>
        <w:jc w:val="both"/>
        <w:rPr>
          <w:rFonts w:ascii="Cambria" w:hAnsi="Cambria"/>
          <w:color w:val="000000"/>
          <w:sz w:val="20"/>
          <w:szCs w:val="20"/>
        </w:rPr>
      </w:pPr>
    </w:p>
    <w:p w14:paraId="4F234331" w14:textId="77777777" w:rsidR="00B83DF6" w:rsidRPr="0059404F" w:rsidRDefault="00B83DF6" w:rsidP="00B83DF6">
      <w:pPr>
        <w:pStyle w:val="NormalWeb"/>
        <w:spacing w:before="0" w:beforeAutospacing="0" w:after="0" w:afterAutospacing="0"/>
        <w:ind w:left="720" w:right="720"/>
        <w:jc w:val="both"/>
        <w:rPr>
          <w:rFonts w:ascii="Cambria" w:hAnsi="Cambria"/>
          <w:color w:val="000000"/>
          <w:sz w:val="20"/>
          <w:szCs w:val="20"/>
        </w:rPr>
      </w:pPr>
      <w:r w:rsidRPr="0059404F">
        <w:rPr>
          <w:rFonts w:ascii="Cambria" w:hAnsi="Cambria"/>
          <w:b/>
          <w:bCs/>
          <w:color w:val="000000"/>
          <w:sz w:val="20"/>
          <w:szCs w:val="20"/>
          <w:u w:val="single"/>
        </w:rPr>
        <w:t>Victims' representative:</w:t>
      </w:r>
      <w:r w:rsidRPr="0059404F">
        <w:rPr>
          <w:rFonts w:ascii="Cambria" w:hAnsi="Cambria"/>
          <w:color w:val="000000"/>
          <w:sz w:val="20"/>
          <w:szCs w:val="20"/>
        </w:rPr>
        <w:t xml:space="preserve"> Indemnizaciones Paz, represented by Dr. Roberto Fernando Paz Salas.</w:t>
      </w:r>
    </w:p>
    <w:p w14:paraId="16D589C5" w14:textId="77777777" w:rsidR="00B83DF6" w:rsidRPr="0059404F" w:rsidRDefault="00B83DF6" w:rsidP="00B83DF6">
      <w:pPr>
        <w:pStyle w:val="NormalWeb"/>
        <w:spacing w:before="0" w:beforeAutospacing="0" w:after="0" w:afterAutospacing="0"/>
        <w:ind w:left="720" w:right="720"/>
        <w:jc w:val="both"/>
        <w:rPr>
          <w:rFonts w:ascii="Cambria" w:hAnsi="Cambria"/>
          <w:color w:val="000000"/>
          <w:sz w:val="20"/>
          <w:szCs w:val="20"/>
        </w:rPr>
      </w:pPr>
    </w:p>
    <w:p w14:paraId="1912F6C7" w14:textId="77777777" w:rsidR="00B83DF6" w:rsidRPr="0059404F" w:rsidRDefault="00B83DF6" w:rsidP="00B83DF6">
      <w:pPr>
        <w:pStyle w:val="NormalWeb"/>
        <w:spacing w:before="0" w:beforeAutospacing="0" w:after="0" w:afterAutospacing="0"/>
        <w:ind w:left="720" w:right="720"/>
        <w:jc w:val="both"/>
        <w:rPr>
          <w:rFonts w:ascii="Cambria" w:hAnsi="Cambria"/>
          <w:color w:val="000000"/>
          <w:sz w:val="20"/>
          <w:szCs w:val="20"/>
        </w:rPr>
      </w:pPr>
      <w:r w:rsidRPr="0059404F">
        <w:rPr>
          <w:rFonts w:ascii="Cambria" w:hAnsi="Cambria"/>
          <w:b/>
          <w:bCs/>
          <w:color w:val="000000"/>
          <w:sz w:val="20"/>
          <w:szCs w:val="20"/>
          <w:u w:val="single"/>
        </w:rPr>
        <w:t>Friendly settlement:</w:t>
      </w:r>
      <w:r w:rsidRPr="0059404F">
        <w:rPr>
          <w:rFonts w:ascii="Cambria" w:hAnsi="Cambria"/>
          <w:color w:val="000000"/>
          <w:sz w:val="20"/>
          <w:szCs w:val="20"/>
        </w:rPr>
        <w:t xml:space="preserve"> Alternative dispute settlement mechanism used for peaceful and consensual resolution before the Inter-American Commission.</w:t>
      </w:r>
    </w:p>
    <w:p w14:paraId="0791EA37" w14:textId="77777777" w:rsidR="00B83DF6" w:rsidRPr="0059404F" w:rsidRDefault="00B83DF6" w:rsidP="00B83DF6">
      <w:pPr>
        <w:pStyle w:val="NormalWeb"/>
        <w:spacing w:before="0" w:beforeAutospacing="0" w:after="0" w:afterAutospacing="0"/>
        <w:ind w:left="720" w:right="720"/>
        <w:jc w:val="both"/>
        <w:rPr>
          <w:rFonts w:ascii="Cambria" w:hAnsi="Cambria"/>
          <w:color w:val="000000"/>
          <w:sz w:val="20"/>
          <w:szCs w:val="20"/>
        </w:rPr>
      </w:pPr>
    </w:p>
    <w:p w14:paraId="03D3031F" w14:textId="77777777" w:rsidR="00B83DF6" w:rsidRPr="0059404F" w:rsidRDefault="00B83DF6" w:rsidP="00B83DF6">
      <w:pPr>
        <w:pStyle w:val="NormalWeb"/>
        <w:spacing w:before="0" w:beforeAutospacing="0" w:after="0" w:afterAutospacing="0"/>
        <w:ind w:left="720" w:right="720"/>
        <w:jc w:val="both"/>
        <w:rPr>
          <w:rFonts w:ascii="Cambria" w:hAnsi="Cambria"/>
          <w:color w:val="000000"/>
          <w:sz w:val="20"/>
          <w:szCs w:val="20"/>
        </w:rPr>
      </w:pPr>
      <w:r w:rsidRPr="0059404F">
        <w:rPr>
          <w:rFonts w:ascii="Cambria" w:hAnsi="Cambria"/>
          <w:b/>
          <w:bCs/>
          <w:color w:val="000000"/>
          <w:sz w:val="20"/>
          <w:szCs w:val="20"/>
          <w:u w:val="single"/>
        </w:rPr>
        <w:t>Victims:</w:t>
      </w:r>
      <w:r w:rsidRPr="0059404F">
        <w:rPr>
          <w:rFonts w:ascii="Cambria" w:hAnsi="Cambria"/>
          <w:color w:val="000000"/>
          <w:sz w:val="20"/>
          <w:szCs w:val="20"/>
        </w:rPr>
        <w:t xml:space="preserve"> Relatives of Mr. Edwin Hernán Ciro.</w:t>
      </w:r>
    </w:p>
    <w:p w14:paraId="512B6625" w14:textId="77777777" w:rsidR="00B83DF6" w:rsidRPr="0059404F" w:rsidRDefault="00B83DF6" w:rsidP="00B83DF6">
      <w:pPr>
        <w:pStyle w:val="NormalWeb"/>
        <w:spacing w:before="0" w:beforeAutospacing="0" w:after="0" w:afterAutospacing="0"/>
        <w:ind w:left="720" w:right="720"/>
        <w:jc w:val="both"/>
        <w:rPr>
          <w:rFonts w:ascii="Cambria" w:hAnsi="Cambria"/>
          <w:b/>
          <w:bCs/>
          <w:color w:val="000000"/>
          <w:sz w:val="20"/>
          <w:szCs w:val="20"/>
        </w:rPr>
      </w:pPr>
    </w:p>
    <w:p w14:paraId="08FA87E4" w14:textId="38029EE0" w:rsidR="00B83DF6" w:rsidRPr="0059404F" w:rsidRDefault="00B83DF6" w:rsidP="00B83DF6">
      <w:pPr>
        <w:pStyle w:val="NormalWeb"/>
        <w:spacing w:before="0" w:beforeAutospacing="0" w:after="0" w:afterAutospacing="0"/>
        <w:ind w:left="720" w:right="720"/>
        <w:jc w:val="center"/>
        <w:rPr>
          <w:rFonts w:ascii="Cambria" w:hAnsi="Cambria"/>
          <w:color w:val="000000"/>
          <w:sz w:val="20"/>
          <w:szCs w:val="20"/>
        </w:rPr>
      </w:pPr>
      <w:r w:rsidRPr="0059404F">
        <w:rPr>
          <w:rFonts w:ascii="Cambria" w:hAnsi="Cambria"/>
          <w:b/>
          <w:bCs/>
          <w:color w:val="000000"/>
          <w:sz w:val="20"/>
          <w:szCs w:val="20"/>
        </w:rPr>
        <w:t>PART TWO</w:t>
      </w:r>
      <w:r w:rsidR="0059404F">
        <w:rPr>
          <w:rFonts w:ascii="Cambria" w:hAnsi="Cambria"/>
          <w:b/>
          <w:bCs/>
          <w:color w:val="000000"/>
          <w:sz w:val="20"/>
          <w:szCs w:val="20"/>
        </w:rPr>
        <w:t>:</w:t>
      </w:r>
      <w:r w:rsidRPr="0059404F">
        <w:rPr>
          <w:rFonts w:ascii="Cambria" w:hAnsi="Cambria"/>
          <w:b/>
          <w:bCs/>
          <w:color w:val="000000"/>
          <w:sz w:val="20"/>
          <w:szCs w:val="20"/>
        </w:rPr>
        <w:t xml:space="preserve"> BACKGROUND</w:t>
      </w:r>
    </w:p>
    <w:p w14:paraId="0E3BDF44" w14:textId="77777777" w:rsidR="00B83DF6" w:rsidRPr="0059404F" w:rsidRDefault="00B83DF6" w:rsidP="00B83DF6">
      <w:pPr>
        <w:pStyle w:val="NormalWeb"/>
        <w:spacing w:before="0" w:beforeAutospacing="0" w:after="0" w:afterAutospacing="0"/>
        <w:ind w:left="720" w:right="720"/>
        <w:jc w:val="both"/>
        <w:rPr>
          <w:rFonts w:ascii="Cambria" w:hAnsi="Cambria"/>
          <w:b/>
          <w:bCs/>
          <w:color w:val="000000"/>
          <w:sz w:val="20"/>
          <w:szCs w:val="20"/>
        </w:rPr>
      </w:pPr>
    </w:p>
    <w:p w14:paraId="29F0F857" w14:textId="77777777" w:rsidR="00B83DF6" w:rsidRPr="0059404F"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59404F">
        <w:rPr>
          <w:rFonts w:ascii="Cambria" w:hAnsi="Cambria"/>
          <w:color w:val="000000"/>
          <w:sz w:val="20"/>
          <w:szCs w:val="20"/>
        </w:rPr>
        <w:t>On January 28, 2009, the Inter-American Commission received a petition lodged by Dr. Roberto Fernando Paz Salas, alleging the homicide of Mr. Edwin Hernán Ciro on August 27, 1999, in the municipality of San Rafael, department of Antioquia.</w:t>
      </w:r>
    </w:p>
    <w:p w14:paraId="1C73E3C5" w14:textId="77777777" w:rsidR="00B83DF6" w:rsidRPr="00FF60B6" w:rsidRDefault="00B83DF6" w:rsidP="00B83DF6">
      <w:pPr>
        <w:pStyle w:val="NormalWeb"/>
        <w:spacing w:before="0" w:beforeAutospacing="0" w:after="0" w:afterAutospacing="0"/>
        <w:ind w:left="720" w:right="720"/>
        <w:jc w:val="both"/>
        <w:rPr>
          <w:rFonts w:ascii="Cambria" w:hAnsi="Cambria"/>
          <w:color w:val="000000"/>
          <w:sz w:val="20"/>
          <w:szCs w:val="20"/>
          <w:highlight w:val="yellow"/>
        </w:rPr>
      </w:pPr>
    </w:p>
    <w:p w14:paraId="24F5BEF4" w14:textId="77777777" w:rsidR="00B83DF6" w:rsidRPr="005960C5"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5960C5">
        <w:rPr>
          <w:rFonts w:ascii="Cambria" w:hAnsi="Cambria"/>
          <w:color w:val="000000"/>
          <w:sz w:val="20"/>
          <w:szCs w:val="20"/>
        </w:rPr>
        <w:t>As to the background in the case, the initial petition states that in the early morning of August 27, 1999, while Mr. Edwin Hernán Ciro and his family were sleeping, a group of armed individuals, who the petitioners say were agents of the Unified Action Group for Personal Liberty, broke down the door of the home, tied Mr. Ciro up, and took him away in a pickup truck.</w:t>
      </w:r>
      <w:r w:rsidRPr="005960C5">
        <w:rPr>
          <w:rFonts w:ascii="Cambria" w:hAnsi="Cambria"/>
          <w:color w:val="000000"/>
          <w:sz w:val="20"/>
          <w:szCs w:val="20"/>
          <w:vertAlign w:val="superscript"/>
        </w:rPr>
        <w:footnoteReference w:id="5"/>
      </w:r>
      <w:r w:rsidRPr="005960C5">
        <w:rPr>
          <w:rFonts w:ascii="Cambria" w:hAnsi="Cambria"/>
          <w:color w:val="000000"/>
          <w:sz w:val="20"/>
          <w:szCs w:val="20"/>
        </w:rPr>
        <w:t xml:space="preserve"> Some time later the family heard the sound of gunshots.</w:t>
      </w:r>
      <w:r w:rsidRPr="005960C5">
        <w:rPr>
          <w:rFonts w:ascii="Cambria" w:hAnsi="Cambria"/>
          <w:color w:val="000000"/>
          <w:sz w:val="20"/>
          <w:szCs w:val="20"/>
          <w:vertAlign w:val="superscript"/>
        </w:rPr>
        <w:footnoteReference w:id="6"/>
      </w:r>
    </w:p>
    <w:p w14:paraId="02AB6DF0" w14:textId="77777777" w:rsidR="00B83DF6" w:rsidRPr="005960C5" w:rsidRDefault="00B83DF6" w:rsidP="00B83DF6">
      <w:pPr>
        <w:pStyle w:val="NormalWeb"/>
        <w:spacing w:before="0" w:beforeAutospacing="0" w:after="0" w:afterAutospacing="0"/>
        <w:ind w:left="720" w:right="720"/>
        <w:jc w:val="both"/>
        <w:rPr>
          <w:rFonts w:ascii="Cambria" w:hAnsi="Cambria"/>
          <w:color w:val="000000"/>
          <w:sz w:val="20"/>
          <w:szCs w:val="20"/>
        </w:rPr>
      </w:pPr>
    </w:p>
    <w:p w14:paraId="05A534C2" w14:textId="77777777" w:rsidR="00B83DF6" w:rsidRPr="005960C5"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5960C5">
        <w:rPr>
          <w:rFonts w:ascii="Cambria" w:hAnsi="Cambria"/>
          <w:color w:val="000000"/>
          <w:sz w:val="20"/>
          <w:szCs w:val="20"/>
        </w:rPr>
        <w:t>It was later reported that two bodies were found in El Charco, a rural area of the Municipality of San Rafael, one of which was that of Edwin Hernán Ciro.</w:t>
      </w:r>
      <w:r w:rsidRPr="005960C5">
        <w:rPr>
          <w:rFonts w:ascii="Cambria" w:hAnsi="Cambria"/>
          <w:color w:val="000000"/>
          <w:sz w:val="20"/>
          <w:szCs w:val="20"/>
          <w:vertAlign w:val="superscript"/>
        </w:rPr>
        <w:footnoteReference w:id="7"/>
      </w:r>
      <w:r w:rsidRPr="005960C5">
        <w:rPr>
          <w:rFonts w:ascii="Cambria" w:hAnsi="Cambria"/>
          <w:color w:val="000000"/>
          <w:sz w:val="20"/>
          <w:szCs w:val="20"/>
        </w:rPr>
        <w:t xml:space="preserve"> Both bodies had several gunshot wounds.</w:t>
      </w:r>
      <w:r w:rsidRPr="005960C5">
        <w:rPr>
          <w:rFonts w:ascii="Cambria" w:hAnsi="Cambria"/>
          <w:color w:val="000000"/>
          <w:sz w:val="20"/>
          <w:szCs w:val="20"/>
          <w:vertAlign w:val="superscript"/>
        </w:rPr>
        <w:footnoteReference w:id="8"/>
      </w:r>
    </w:p>
    <w:p w14:paraId="2DE59C2B" w14:textId="77777777" w:rsidR="00B83DF6" w:rsidRPr="005960C5" w:rsidRDefault="00B83DF6" w:rsidP="00B83DF6">
      <w:pPr>
        <w:pStyle w:val="ListParagraph"/>
        <w:ind w:right="720"/>
        <w:rPr>
          <w:sz w:val="20"/>
          <w:szCs w:val="20"/>
        </w:rPr>
      </w:pPr>
    </w:p>
    <w:p w14:paraId="5CA4F61A" w14:textId="77777777" w:rsidR="00B83DF6" w:rsidRPr="005960C5"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5960C5">
        <w:rPr>
          <w:rFonts w:ascii="Cambria" w:hAnsi="Cambria"/>
          <w:color w:val="000000"/>
          <w:sz w:val="20"/>
          <w:szCs w:val="20"/>
        </w:rPr>
        <w:t>In light of the facts of the case, on August 31, 1999, the 93rd Sectional Prosecutor's Office in San Rafael ordered a preliminary investigation. On September 8, 1999, the proceedings were referred to the Municipal Criminal Courts.</w:t>
      </w:r>
      <w:r w:rsidRPr="005960C5">
        <w:rPr>
          <w:rFonts w:ascii="Cambria" w:hAnsi="Cambria"/>
          <w:color w:val="000000"/>
          <w:sz w:val="20"/>
          <w:szCs w:val="20"/>
          <w:vertAlign w:val="superscript"/>
        </w:rPr>
        <w:footnoteReference w:id="9"/>
      </w:r>
    </w:p>
    <w:p w14:paraId="3F8221E5" w14:textId="77777777" w:rsidR="00B83DF6" w:rsidRPr="005960C5" w:rsidRDefault="00B83DF6" w:rsidP="00B83DF6">
      <w:pPr>
        <w:pStyle w:val="NormalWeb"/>
        <w:spacing w:before="0" w:beforeAutospacing="0" w:after="0" w:afterAutospacing="0"/>
        <w:ind w:left="720" w:right="720"/>
        <w:jc w:val="both"/>
        <w:rPr>
          <w:rFonts w:ascii="Cambria" w:hAnsi="Cambria"/>
          <w:color w:val="000000"/>
          <w:sz w:val="20"/>
          <w:szCs w:val="20"/>
        </w:rPr>
      </w:pPr>
    </w:p>
    <w:p w14:paraId="7E5B1346" w14:textId="77777777" w:rsidR="00B83DF6" w:rsidRPr="005960C5"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5960C5">
        <w:rPr>
          <w:rFonts w:ascii="Cambria" w:hAnsi="Cambria"/>
          <w:color w:val="000000"/>
          <w:sz w:val="20"/>
          <w:szCs w:val="20"/>
        </w:rPr>
        <w:t>On October 12, 1999, the 45th Military Preliminary Criminal Investigation Court took cognizance of the proceedings and ordered the collection of evidence. Among the evidence collected, it was found that the Rionegro GAULA group, with support from the Antioquia GAULA, had indeed been in the municipality of San Rafael on August 27, 1999, looking for a kidnapped minor; that led to an operation carried out on August 27, 1999.</w:t>
      </w:r>
      <w:r w:rsidRPr="005960C5">
        <w:rPr>
          <w:rFonts w:ascii="Cambria" w:hAnsi="Cambria"/>
          <w:color w:val="000000"/>
          <w:sz w:val="20"/>
          <w:szCs w:val="20"/>
          <w:vertAlign w:val="superscript"/>
        </w:rPr>
        <w:footnoteReference w:id="10"/>
      </w:r>
    </w:p>
    <w:p w14:paraId="06FF5068" w14:textId="77777777" w:rsidR="00B83DF6" w:rsidRPr="005960C5" w:rsidRDefault="00B83DF6" w:rsidP="00B83DF6">
      <w:pPr>
        <w:pStyle w:val="NormalWeb"/>
        <w:spacing w:before="0" w:beforeAutospacing="0" w:after="0" w:afterAutospacing="0"/>
        <w:ind w:left="720" w:right="720"/>
        <w:jc w:val="both"/>
        <w:rPr>
          <w:rFonts w:ascii="Cambria" w:hAnsi="Cambria"/>
          <w:color w:val="000000"/>
          <w:sz w:val="20"/>
          <w:szCs w:val="20"/>
        </w:rPr>
      </w:pPr>
    </w:p>
    <w:p w14:paraId="0BBC4F85" w14:textId="77777777" w:rsidR="00B83DF6" w:rsidRPr="008D37BF"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8D37BF">
        <w:rPr>
          <w:rFonts w:ascii="Cambria" w:hAnsi="Cambria"/>
          <w:color w:val="000000"/>
          <w:sz w:val="20"/>
          <w:szCs w:val="20"/>
        </w:rPr>
        <w:t>On February 29, 2000, the 92nd Military Preliminary Criminal Investigation Court ordered the opening of a preliminary investigation and issued summonses for the members of the Second Rionegro GAULA group who were involved in the operation carried out on August 27, 1999, in the Municipality of San Rafael, Antioquia.</w:t>
      </w:r>
      <w:r w:rsidRPr="008D37BF">
        <w:rPr>
          <w:rFonts w:ascii="Cambria" w:hAnsi="Cambria"/>
          <w:color w:val="000000"/>
          <w:sz w:val="20"/>
          <w:szCs w:val="20"/>
          <w:vertAlign w:val="superscript"/>
        </w:rPr>
        <w:footnoteReference w:id="11"/>
      </w:r>
    </w:p>
    <w:p w14:paraId="52435B76" w14:textId="77777777" w:rsidR="00B83DF6" w:rsidRPr="008D37BF" w:rsidRDefault="00B83DF6" w:rsidP="00B83DF6">
      <w:pPr>
        <w:pStyle w:val="ListParagraph"/>
        <w:ind w:right="720"/>
        <w:rPr>
          <w:sz w:val="20"/>
          <w:szCs w:val="20"/>
        </w:rPr>
      </w:pPr>
    </w:p>
    <w:p w14:paraId="7D1895E8" w14:textId="77777777" w:rsidR="00B83DF6" w:rsidRPr="008D37BF"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8D37BF">
        <w:rPr>
          <w:rFonts w:ascii="Cambria" w:hAnsi="Cambria"/>
          <w:color w:val="000000"/>
          <w:sz w:val="20"/>
          <w:szCs w:val="20"/>
        </w:rPr>
        <w:t>On March 18, 2003, the investigation was referred to the ordinary courts on the grounds that the facts suggested that the alleged perpetrators were members of the National Police GAULA and that their actions had been committed outside their official duties; on the contrary, the criminal deeds were perpetrated in the context of acts alien to police functions.</w:t>
      </w:r>
      <w:r w:rsidRPr="008D37BF">
        <w:rPr>
          <w:rFonts w:ascii="Cambria" w:hAnsi="Cambria"/>
          <w:color w:val="000000"/>
          <w:sz w:val="20"/>
          <w:szCs w:val="20"/>
          <w:vertAlign w:val="superscript"/>
        </w:rPr>
        <w:footnoteReference w:id="12"/>
      </w:r>
    </w:p>
    <w:p w14:paraId="333BCF88" w14:textId="77777777" w:rsidR="00B83DF6" w:rsidRPr="008D37BF" w:rsidRDefault="00B83DF6" w:rsidP="00B83DF6">
      <w:pPr>
        <w:pStyle w:val="ListParagraph"/>
        <w:ind w:right="720"/>
        <w:rPr>
          <w:sz w:val="20"/>
          <w:szCs w:val="20"/>
        </w:rPr>
      </w:pPr>
    </w:p>
    <w:p w14:paraId="18955DC4" w14:textId="7C611F47" w:rsidR="00B83DF6" w:rsidRPr="008D37BF" w:rsidRDefault="00E27ABF"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E27ABF">
        <w:rPr>
          <w:rFonts w:ascii="Cambria" w:hAnsi="Cambria"/>
          <w:color w:val="000000"/>
          <w:sz w:val="20"/>
          <w:szCs w:val="20"/>
        </w:rPr>
        <w:t>On May 5, 2003, a resolution was passed to close the investigation, arguing that, according to article 329 of the Criminal Procedure Code, the term of instruction could not exceed 18 months from the date of its initiation, for which once expired, the proceeding action was the qualification of the summary.</w:t>
      </w:r>
      <w:r w:rsidR="00B83DF6" w:rsidRPr="008D37BF">
        <w:rPr>
          <w:rFonts w:ascii="Cambria" w:hAnsi="Cambria"/>
          <w:color w:val="000000"/>
          <w:sz w:val="20"/>
          <w:szCs w:val="20"/>
          <w:vertAlign w:val="superscript"/>
        </w:rPr>
        <w:footnoteReference w:id="13"/>
      </w:r>
    </w:p>
    <w:p w14:paraId="353AD503" w14:textId="77777777" w:rsidR="00B83DF6" w:rsidRPr="008D37BF" w:rsidRDefault="00B83DF6" w:rsidP="00B83DF6">
      <w:pPr>
        <w:pStyle w:val="ListParagraph"/>
        <w:ind w:right="720"/>
        <w:jc w:val="both"/>
        <w:rPr>
          <w:sz w:val="20"/>
          <w:szCs w:val="20"/>
        </w:rPr>
      </w:pPr>
    </w:p>
    <w:p w14:paraId="2D0A9F65" w14:textId="77777777" w:rsidR="00B83DF6" w:rsidRPr="008D37BF"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8D37BF">
        <w:rPr>
          <w:rFonts w:ascii="Cambria" w:hAnsi="Cambria"/>
          <w:color w:val="000000"/>
          <w:sz w:val="20"/>
          <w:szCs w:val="20"/>
        </w:rPr>
        <w:t>On June 8, 2004, the 97th Sectional Prosecutor's Office in Marinilla closed the preliminary investigation on account of the inability to corroborate the identities of the material perpetrators of the crime.</w:t>
      </w:r>
      <w:r w:rsidRPr="008D37BF">
        <w:rPr>
          <w:rFonts w:ascii="Cambria" w:hAnsi="Cambria"/>
          <w:color w:val="000000"/>
          <w:sz w:val="20"/>
          <w:szCs w:val="20"/>
          <w:vertAlign w:val="superscript"/>
        </w:rPr>
        <w:footnoteReference w:id="14"/>
      </w:r>
    </w:p>
    <w:p w14:paraId="0B91AE3A" w14:textId="77777777" w:rsidR="00B83DF6" w:rsidRPr="008D37BF" w:rsidRDefault="00B83DF6" w:rsidP="00B83DF6">
      <w:pPr>
        <w:pStyle w:val="NormalWeb"/>
        <w:spacing w:before="0" w:beforeAutospacing="0" w:after="0" w:afterAutospacing="0"/>
        <w:ind w:left="720" w:right="720"/>
        <w:jc w:val="both"/>
        <w:rPr>
          <w:rFonts w:ascii="Cambria" w:hAnsi="Cambria"/>
          <w:color w:val="000000"/>
          <w:sz w:val="20"/>
          <w:szCs w:val="20"/>
        </w:rPr>
      </w:pPr>
    </w:p>
    <w:p w14:paraId="6ED593F3" w14:textId="77777777" w:rsidR="00B83DF6" w:rsidRPr="008D37BF"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8D37BF">
        <w:rPr>
          <w:rFonts w:ascii="Cambria" w:hAnsi="Cambria"/>
          <w:color w:val="000000"/>
          <w:sz w:val="20"/>
          <w:szCs w:val="20"/>
        </w:rPr>
        <w:t xml:space="preserve">  The Memorandum of Understanding for the Search for a Friendly Settlement was signed on March 28, 2022. </w:t>
      </w:r>
    </w:p>
    <w:p w14:paraId="1299C9EA" w14:textId="77777777" w:rsidR="00B83DF6" w:rsidRPr="008D37BF" w:rsidRDefault="00B83DF6" w:rsidP="00B83DF6">
      <w:pPr>
        <w:pStyle w:val="NormalWeb"/>
        <w:spacing w:before="0" w:beforeAutospacing="0" w:after="0" w:afterAutospacing="0"/>
        <w:ind w:left="720" w:right="720"/>
        <w:jc w:val="both"/>
        <w:rPr>
          <w:rFonts w:ascii="Cambria" w:hAnsi="Cambria"/>
          <w:color w:val="000000"/>
          <w:sz w:val="20"/>
          <w:szCs w:val="20"/>
        </w:rPr>
      </w:pPr>
    </w:p>
    <w:p w14:paraId="30E3DA92" w14:textId="77777777" w:rsidR="00B83DF6" w:rsidRPr="008D37BF" w:rsidRDefault="00B83DF6" w:rsidP="00F70E8B">
      <w:pPr>
        <w:pStyle w:val="NormalWeb"/>
        <w:numPr>
          <w:ilvl w:val="1"/>
          <w:numId w:val="58"/>
        </w:numPr>
        <w:spacing w:before="0" w:beforeAutospacing="0" w:after="0" w:afterAutospacing="0"/>
        <w:ind w:left="720" w:right="720" w:firstLine="0"/>
        <w:jc w:val="both"/>
        <w:rPr>
          <w:rFonts w:ascii="Cambria" w:hAnsi="Cambria"/>
          <w:color w:val="000000"/>
          <w:sz w:val="20"/>
          <w:szCs w:val="20"/>
        </w:rPr>
      </w:pPr>
      <w:r w:rsidRPr="008D37BF">
        <w:rPr>
          <w:rFonts w:ascii="Cambria" w:hAnsi="Cambria"/>
          <w:color w:val="000000"/>
          <w:sz w:val="20"/>
          <w:szCs w:val="20"/>
        </w:rPr>
        <w:t xml:space="preserve"> Over the months that followed the parties held joint meetings to analyze the reparation measures to be included in the friendly settlement agreement being signed on this date. </w:t>
      </w:r>
    </w:p>
    <w:p w14:paraId="3044CE3C" w14:textId="77777777" w:rsidR="00B83DF6" w:rsidRPr="008D37BF" w:rsidRDefault="00B83DF6" w:rsidP="00B83DF6">
      <w:pPr>
        <w:pStyle w:val="NormalWeb"/>
        <w:spacing w:before="0" w:beforeAutospacing="0" w:after="0" w:afterAutospacing="0"/>
        <w:ind w:left="720" w:right="720"/>
        <w:jc w:val="both"/>
        <w:rPr>
          <w:rFonts w:ascii="Cambria" w:hAnsi="Cambria"/>
          <w:color w:val="000000"/>
          <w:sz w:val="20"/>
          <w:szCs w:val="20"/>
        </w:rPr>
      </w:pPr>
    </w:p>
    <w:p w14:paraId="5AA89A4E" w14:textId="53CA1ECE" w:rsidR="00B83DF6" w:rsidRPr="008D37BF" w:rsidRDefault="00B83DF6" w:rsidP="00B83DF6">
      <w:pPr>
        <w:pStyle w:val="NormalWeb"/>
        <w:spacing w:before="0" w:beforeAutospacing="0" w:after="0" w:afterAutospacing="0"/>
        <w:ind w:left="720" w:right="720"/>
        <w:jc w:val="center"/>
        <w:rPr>
          <w:rFonts w:ascii="Cambria" w:hAnsi="Cambria"/>
          <w:b/>
          <w:bCs/>
          <w:color w:val="000000"/>
          <w:sz w:val="20"/>
          <w:szCs w:val="20"/>
        </w:rPr>
      </w:pPr>
      <w:r w:rsidRPr="008D37BF">
        <w:rPr>
          <w:rFonts w:ascii="Cambria" w:hAnsi="Cambria"/>
          <w:b/>
          <w:bCs/>
          <w:color w:val="000000"/>
          <w:sz w:val="20"/>
          <w:szCs w:val="20"/>
        </w:rPr>
        <w:t>PART THREE</w:t>
      </w:r>
      <w:r w:rsidR="008D37BF">
        <w:rPr>
          <w:rFonts w:ascii="Cambria" w:hAnsi="Cambria"/>
          <w:b/>
          <w:bCs/>
          <w:color w:val="000000"/>
          <w:sz w:val="20"/>
          <w:szCs w:val="20"/>
        </w:rPr>
        <w:t>:</w:t>
      </w:r>
      <w:r w:rsidRPr="008D37BF">
        <w:rPr>
          <w:rFonts w:ascii="Cambria" w:hAnsi="Cambria"/>
          <w:b/>
          <w:bCs/>
          <w:color w:val="000000"/>
          <w:sz w:val="20"/>
          <w:szCs w:val="20"/>
        </w:rPr>
        <w:t xml:space="preserve"> BENEFICIARIES</w:t>
      </w:r>
    </w:p>
    <w:p w14:paraId="11347942" w14:textId="77777777" w:rsidR="00B83DF6" w:rsidRPr="008D37BF" w:rsidRDefault="00B83DF6" w:rsidP="00B83DF6">
      <w:pPr>
        <w:pStyle w:val="NormalWeb"/>
        <w:spacing w:before="0" w:beforeAutospacing="0" w:after="0" w:afterAutospacing="0"/>
        <w:ind w:left="720" w:right="720"/>
        <w:jc w:val="both"/>
        <w:rPr>
          <w:rFonts w:ascii="Cambria" w:hAnsi="Cambria"/>
          <w:color w:val="000000"/>
          <w:sz w:val="20"/>
          <w:szCs w:val="20"/>
        </w:rPr>
      </w:pPr>
    </w:p>
    <w:p w14:paraId="251C8111" w14:textId="77777777" w:rsidR="00B83DF6" w:rsidRPr="008D37BF" w:rsidRDefault="00B83DF6" w:rsidP="00B83DF6">
      <w:pPr>
        <w:pStyle w:val="NormalWeb"/>
        <w:spacing w:before="0" w:beforeAutospacing="0" w:after="0" w:afterAutospacing="0"/>
        <w:ind w:left="720" w:right="720"/>
        <w:jc w:val="both"/>
        <w:rPr>
          <w:rFonts w:ascii="Cambria" w:hAnsi="Cambria"/>
          <w:color w:val="000000"/>
          <w:sz w:val="20"/>
          <w:szCs w:val="20"/>
        </w:rPr>
      </w:pPr>
      <w:r w:rsidRPr="008D37BF">
        <w:rPr>
          <w:rFonts w:ascii="Cambria" w:hAnsi="Cambria"/>
          <w:color w:val="000000"/>
          <w:sz w:val="20"/>
          <w:szCs w:val="20"/>
        </w:rPr>
        <w:t>The Colombian State recognizes the following victims in this agreement:</w:t>
      </w:r>
    </w:p>
    <w:p w14:paraId="21AD9893" w14:textId="77777777" w:rsidR="00B83DF6" w:rsidRPr="00FF60B6" w:rsidRDefault="00B83DF6" w:rsidP="00B83DF6">
      <w:pPr>
        <w:pStyle w:val="NormalWeb"/>
        <w:spacing w:before="0" w:beforeAutospacing="0" w:after="0" w:afterAutospacing="0"/>
        <w:ind w:left="720" w:right="720"/>
        <w:jc w:val="both"/>
        <w:rPr>
          <w:rFonts w:ascii="Cambria" w:hAnsi="Cambria"/>
          <w:color w:val="000000"/>
          <w:sz w:val="20"/>
          <w:szCs w:val="20"/>
          <w:highlight w:val="yellow"/>
        </w:rPr>
      </w:pPr>
    </w:p>
    <w:tbl>
      <w:tblPr>
        <w:tblStyle w:val="TableGrid"/>
        <w:tblW w:w="0" w:type="auto"/>
        <w:tblInd w:w="720" w:type="dxa"/>
        <w:tblLook w:val="04A0" w:firstRow="1" w:lastRow="0" w:firstColumn="1" w:lastColumn="0" w:noHBand="0" w:noVBand="1"/>
      </w:tblPr>
      <w:tblGrid>
        <w:gridCol w:w="3055"/>
        <w:gridCol w:w="1980"/>
        <w:gridCol w:w="2880"/>
      </w:tblGrid>
      <w:tr w:rsidR="00B83DF6" w:rsidRPr="00FF60B6" w14:paraId="51ACE818" w14:textId="77777777" w:rsidTr="00DD3924">
        <w:tc>
          <w:tcPr>
            <w:tcW w:w="3055" w:type="dxa"/>
            <w:shd w:val="clear" w:color="auto" w:fill="D1CECE"/>
            <w:vAlign w:val="center"/>
          </w:tcPr>
          <w:p w14:paraId="1BC2FB0C" w14:textId="77777777" w:rsidR="00B83DF6" w:rsidRPr="008D37BF" w:rsidRDefault="00B83DF6" w:rsidP="00285302">
            <w:pPr>
              <w:pStyle w:val="NormalWeb"/>
              <w:spacing w:before="0" w:beforeAutospacing="0" w:after="0" w:afterAutospacing="0"/>
              <w:ind w:left="720" w:right="720"/>
              <w:jc w:val="center"/>
              <w:rPr>
                <w:rFonts w:ascii="Cambria" w:hAnsi="Cambria"/>
                <w:b/>
                <w:bCs/>
                <w:color w:val="000000"/>
                <w:sz w:val="20"/>
                <w:szCs w:val="20"/>
              </w:rPr>
            </w:pPr>
            <w:r w:rsidRPr="008D37BF">
              <w:rPr>
                <w:rFonts w:ascii="Cambria" w:hAnsi="Cambria"/>
                <w:b/>
                <w:bCs/>
                <w:color w:val="000000"/>
                <w:sz w:val="20"/>
                <w:szCs w:val="20"/>
              </w:rPr>
              <w:t>Name</w:t>
            </w:r>
          </w:p>
        </w:tc>
        <w:tc>
          <w:tcPr>
            <w:tcW w:w="1980" w:type="dxa"/>
            <w:shd w:val="clear" w:color="auto" w:fill="D1CECE"/>
            <w:vAlign w:val="center"/>
          </w:tcPr>
          <w:p w14:paraId="2225C551" w14:textId="77777777" w:rsidR="00B83DF6" w:rsidRPr="008D37BF" w:rsidRDefault="00B83DF6" w:rsidP="00285302">
            <w:pPr>
              <w:pStyle w:val="NormalWeb"/>
              <w:spacing w:before="0" w:beforeAutospacing="0" w:after="0" w:afterAutospacing="0"/>
              <w:ind w:left="720" w:right="720"/>
              <w:jc w:val="center"/>
              <w:rPr>
                <w:rFonts w:ascii="Cambria" w:hAnsi="Cambria"/>
                <w:b/>
                <w:bCs/>
                <w:color w:val="000000"/>
                <w:sz w:val="20"/>
                <w:szCs w:val="20"/>
              </w:rPr>
            </w:pPr>
            <w:r w:rsidRPr="008D37BF">
              <w:rPr>
                <w:rFonts w:ascii="Cambria" w:hAnsi="Cambria"/>
                <w:b/>
                <w:bCs/>
                <w:color w:val="000000"/>
                <w:sz w:val="20"/>
                <w:szCs w:val="20"/>
              </w:rPr>
              <w:t>ID</w:t>
            </w:r>
          </w:p>
        </w:tc>
        <w:tc>
          <w:tcPr>
            <w:tcW w:w="2880" w:type="dxa"/>
            <w:shd w:val="clear" w:color="auto" w:fill="D1CECE"/>
            <w:vAlign w:val="center"/>
          </w:tcPr>
          <w:p w14:paraId="1E0F729E" w14:textId="77777777" w:rsidR="00B83DF6" w:rsidRPr="008D37BF" w:rsidRDefault="00B83DF6" w:rsidP="00285302">
            <w:pPr>
              <w:pStyle w:val="NormalWeb"/>
              <w:spacing w:before="0" w:beforeAutospacing="0" w:after="0" w:afterAutospacing="0"/>
              <w:ind w:left="720" w:right="720"/>
              <w:jc w:val="center"/>
              <w:rPr>
                <w:rFonts w:ascii="Cambria" w:hAnsi="Cambria"/>
                <w:b/>
                <w:bCs/>
                <w:color w:val="000000"/>
                <w:sz w:val="20"/>
                <w:szCs w:val="20"/>
              </w:rPr>
            </w:pPr>
            <w:r w:rsidRPr="008D37BF">
              <w:rPr>
                <w:rFonts w:ascii="Cambria" w:hAnsi="Cambria"/>
                <w:b/>
                <w:bCs/>
                <w:color w:val="000000"/>
                <w:sz w:val="20"/>
                <w:szCs w:val="20"/>
              </w:rPr>
              <w:t>Relationship</w:t>
            </w:r>
          </w:p>
        </w:tc>
      </w:tr>
      <w:tr w:rsidR="00B83DF6" w:rsidRPr="00FF60B6" w14:paraId="3911095A" w14:textId="77777777" w:rsidTr="00DD3924">
        <w:tc>
          <w:tcPr>
            <w:tcW w:w="3055" w:type="dxa"/>
            <w:vAlign w:val="center"/>
          </w:tcPr>
          <w:p w14:paraId="7150D29B" w14:textId="77777777" w:rsidR="00B83DF6" w:rsidRPr="008D37BF" w:rsidRDefault="00B83DF6" w:rsidP="00285302">
            <w:pPr>
              <w:pStyle w:val="NormalWeb"/>
              <w:spacing w:before="0" w:beforeAutospacing="0" w:after="0" w:afterAutospacing="0"/>
              <w:ind w:left="150" w:right="60"/>
              <w:jc w:val="center"/>
              <w:rPr>
                <w:rFonts w:ascii="Cambria" w:hAnsi="Cambria"/>
                <w:color w:val="000000"/>
                <w:sz w:val="20"/>
                <w:szCs w:val="20"/>
              </w:rPr>
            </w:pPr>
            <w:r w:rsidRPr="008D37BF">
              <w:rPr>
                <w:rFonts w:ascii="Cambria" w:hAnsi="Cambria"/>
                <w:color w:val="000000"/>
                <w:sz w:val="20"/>
                <w:szCs w:val="20"/>
              </w:rPr>
              <w:t>Ana Judith Ciro de Morales</w:t>
            </w:r>
          </w:p>
        </w:tc>
        <w:tc>
          <w:tcPr>
            <w:tcW w:w="1980" w:type="dxa"/>
            <w:vAlign w:val="center"/>
          </w:tcPr>
          <w:p w14:paraId="44AC881C"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w:t>
            </w:r>
          </w:p>
        </w:tc>
        <w:tc>
          <w:tcPr>
            <w:tcW w:w="2880" w:type="dxa"/>
            <w:vAlign w:val="center"/>
          </w:tcPr>
          <w:p w14:paraId="29EE6121"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Mother</w:t>
            </w:r>
          </w:p>
        </w:tc>
      </w:tr>
      <w:tr w:rsidR="00B83DF6" w:rsidRPr="00FF60B6" w14:paraId="24AFB370" w14:textId="77777777" w:rsidTr="00DD3924">
        <w:tc>
          <w:tcPr>
            <w:tcW w:w="3055" w:type="dxa"/>
            <w:vAlign w:val="center"/>
          </w:tcPr>
          <w:p w14:paraId="5DA09DC8" w14:textId="77777777" w:rsidR="00B83DF6" w:rsidRPr="008D37BF" w:rsidRDefault="00B83DF6" w:rsidP="00285302">
            <w:pPr>
              <w:pStyle w:val="NormalWeb"/>
              <w:spacing w:before="0" w:beforeAutospacing="0" w:after="0" w:afterAutospacing="0"/>
              <w:ind w:left="150" w:right="60"/>
              <w:jc w:val="center"/>
              <w:rPr>
                <w:rFonts w:ascii="Cambria" w:hAnsi="Cambria"/>
                <w:color w:val="000000"/>
                <w:sz w:val="20"/>
                <w:szCs w:val="20"/>
              </w:rPr>
            </w:pPr>
            <w:r w:rsidRPr="008D37BF">
              <w:rPr>
                <w:rFonts w:ascii="Cambria" w:hAnsi="Cambria"/>
                <w:color w:val="000000"/>
                <w:sz w:val="20"/>
                <w:szCs w:val="20"/>
              </w:rPr>
              <w:t>Ramón Antonio Morales Ciro</w:t>
            </w:r>
          </w:p>
        </w:tc>
        <w:tc>
          <w:tcPr>
            <w:tcW w:w="1980" w:type="dxa"/>
            <w:vAlign w:val="center"/>
          </w:tcPr>
          <w:p w14:paraId="75D1E48F"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w:t>
            </w:r>
          </w:p>
        </w:tc>
        <w:tc>
          <w:tcPr>
            <w:tcW w:w="2880" w:type="dxa"/>
            <w:vAlign w:val="center"/>
          </w:tcPr>
          <w:p w14:paraId="103A392A"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Brother</w:t>
            </w:r>
          </w:p>
        </w:tc>
      </w:tr>
      <w:tr w:rsidR="00B83DF6" w:rsidRPr="00FF60B6" w14:paraId="201351B5" w14:textId="77777777" w:rsidTr="00DD3924">
        <w:tc>
          <w:tcPr>
            <w:tcW w:w="3055" w:type="dxa"/>
            <w:vAlign w:val="center"/>
          </w:tcPr>
          <w:p w14:paraId="0383857D" w14:textId="77777777" w:rsidR="00B83DF6" w:rsidRPr="008D37BF" w:rsidRDefault="00B83DF6" w:rsidP="00285302">
            <w:pPr>
              <w:pStyle w:val="NormalWeb"/>
              <w:spacing w:before="0" w:beforeAutospacing="0" w:after="0" w:afterAutospacing="0"/>
              <w:ind w:left="150" w:right="60"/>
              <w:jc w:val="center"/>
              <w:rPr>
                <w:rFonts w:ascii="Cambria" w:hAnsi="Cambria"/>
                <w:color w:val="000000"/>
                <w:sz w:val="20"/>
                <w:szCs w:val="20"/>
              </w:rPr>
            </w:pPr>
            <w:r w:rsidRPr="008D37BF">
              <w:rPr>
                <w:rFonts w:ascii="Cambria" w:hAnsi="Cambria"/>
                <w:color w:val="000000"/>
                <w:sz w:val="20"/>
                <w:szCs w:val="20"/>
              </w:rPr>
              <w:t>Luz Mery Morales Ciro</w:t>
            </w:r>
          </w:p>
        </w:tc>
        <w:tc>
          <w:tcPr>
            <w:tcW w:w="1980" w:type="dxa"/>
            <w:vAlign w:val="center"/>
          </w:tcPr>
          <w:p w14:paraId="67A4CFEB"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w:t>
            </w:r>
          </w:p>
        </w:tc>
        <w:tc>
          <w:tcPr>
            <w:tcW w:w="2880" w:type="dxa"/>
            <w:vAlign w:val="center"/>
          </w:tcPr>
          <w:p w14:paraId="38C95D76"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Sister</w:t>
            </w:r>
          </w:p>
        </w:tc>
      </w:tr>
      <w:tr w:rsidR="00B83DF6" w:rsidRPr="00FF60B6" w14:paraId="1F19D678" w14:textId="77777777" w:rsidTr="00DD3924">
        <w:tc>
          <w:tcPr>
            <w:tcW w:w="3055" w:type="dxa"/>
            <w:vAlign w:val="center"/>
          </w:tcPr>
          <w:p w14:paraId="20325E6E" w14:textId="77777777" w:rsidR="00B83DF6" w:rsidRPr="008D37BF" w:rsidRDefault="00B83DF6" w:rsidP="00285302">
            <w:pPr>
              <w:pStyle w:val="NormalWeb"/>
              <w:spacing w:before="0" w:beforeAutospacing="0" w:after="0" w:afterAutospacing="0"/>
              <w:ind w:left="150" w:right="60"/>
              <w:jc w:val="center"/>
              <w:rPr>
                <w:rFonts w:ascii="Cambria" w:hAnsi="Cambria"/>
                <w:color w:val="000000"/>
                <w:sz w:val="20"/>
                <w:szCs w:val="20"/>
              </w:rPr>
            </w:pPr>
            <w:r w:rsidRPr="008D37BF">
              <w:rPr>
                <w:rFonts w:ascii="Cambria" w:hAnsi="Cambria"/>
                <w:color w:val="000000"/>
                <w:sz w:val="20"/>
                <w:szCs w:val="20"/>
              </w:rPr>
              <w:t>José Azarías Morales Ciro</w:t>
            </w:r>
          </w:p>
        </w:tc>
        <w:tc>
          <w:tcPr>
            <w:tcW w:w="1980" w:type="dxa"/>
            <w:vAlign w:val="center"/>
          </w:tcPr>
          <w:p w14:paraId="475D54FD"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w:t>
            </w:r>
          </w:p>
        </w:tc>
        <w:tc>
          <w:tcPr>
            <w:tcW w:w="2880" w:type="dxa"/>
            <w:vAlign w:val="center"/>
          </w:tcPr>
          <w:p w14:paraId="62923C22"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Brother</w:t>
            </w:r>
          </w:p>
        </w:tc>
      </w:tr>
      <w:tr w:rsidR="00B83DF6" w:rsidRPr="00FF60B6" w14:paraId="3A0EDF42" w14:textId="77777777" w:rsidTr="00DD3924">
        <w:tc>
          <w:tcPr>
            <w:tcW w:w="3055" w:type="dxa"/>
            <w:vAlign w:val="center"/>
          </w:tcPr>
          <w:p w14:paraId="3D458592" w14:textId="77777777" w:rsidR="00B83DF6" w:rsidRPr="008D37BF" w:rsidRDefault="00B83DF6" w:rsidP="00285302">
            <w:pPr>
              <w:pStyle w:val="NormalWeb"/>
              <w:spacing w:before="0" w:beforeAutospacing="0" w:after="0" w:afterAutospacing="0"/>
              <w:ind w:left="150" w:right="60"/>
              <w:jc w:val="center"/>
              <w:rPr>
                <w:rFonts w:ascii="Cambria" w:hAnsi="Cambria"/>
                <w:color w:val="000000"/>
                <w:sz w:val="20"/>
                <w:szCs w:val="20"/>
              </w:rPr>
            </w:pPr>
            <w:r w:rsidRPr="008D37BF">
              <w:rPr>
                <w:rFonts w:ascii="Cambria" w:eastAsia="Work Sans" w:hAnsi="Cambria" w:cs="Work Sans"/>
                <w:color w:val="000000" w:themeColor="text1"/>
                <w:sz w:val="20"/>
                <w:szCs w:val="20"/>
              </w:rPr>
              <w:t>Elsy Amparo Ciro</w:t>
            </w:r>
          </w:p>
        </w:tc>
        <w:tc>
          <w:tcPr>
            <w:tcW w:w="1980" w:type="dxa"/>
            <w:vAlign w:val="center"/>
          </w:tcPr>
          <w:p w14:paraId="2F2212EC"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w:t>
            </w:r>
          </w:p>
        </w:tc>
        <w:tc>
          <w:tcPr>
            <w:tcW w:w="2880" w:type="dxa"/>
          </w:tcPr>
          <w:p w14:paraId="493CBC41"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eastAsia="Work Sans" w:hAnsi="Cambria" w:cs="Work Sans"/>
                <w:color w:val="000000" w:themeColor="text1"/>
                <w:sz w:val="20"/>
                <w:szCs w:val="20"/>
              </w:rPr>
              <w:t>Sister</w:t>
            </w:r>
          </w:p>
        </w:tc>
      </w:tr>
      <w:tr w:rsidR="00B83DF6" w:rsidRPr="00FF60B6" w14:paraId="19508FBD" w14:textId="77777777" w:rsidTr="00DD3924">
        <w:tc>
          <w:tcPr>
            <w:tcW w:w="3055" w:type="dxa"/>
            <w:vAlign w:val="center"/>
          </w:tcPr>
          <w:p w14:paraId="6797B20D" w14:textId="77777777" w:rsidR="00B83DF6" w:rsidRPr="008D37BF" w:rsidRDefault="00B83DF6" w:rsidP="00285302">
            <w:pPr>
              <w:pStyle w:val="NormalWeb"/>
              <w:spacing w:before="0" w:beforeAutospacing="0" w:after="0" w:afterAutospacing="0"/>
              <w:ind w:left="150" w:right="60"/>
              <w:jc w:val="center"/>
              <w:rPr>
                <w:rFonts w:ascii="Cambria" w:hAnsi="Cambria"/>
                <w:color w:val="000000"/>
                <w:sz w:val="20"/>
                <w:szCs w:val="20"/>
                <w:lang w:val="es-419"/>
              </w:rPr>
            </w:pPr>
            <w:r w:rsidRPr="008D37BF">
              <w:rPr>
                <w:rFonts w:ascii="Cambria" w:eastAsia="Work Sans" w:hAnsi="Cambria" w:cs="Work Sans"/>
                <w:color w:val="000000" w:themeColor="text1"/>
                <w:sz w:val="20"/>
                <w:szCs w:val="20"/>
                <w:lang w:val="es-419"/>
              </w:rPr>
              <w:t>Rosa María Morales de Parra</w:t>
            </w:r>
          </w:p>
        </w:tc>
        <w:tc>
          <w:tcPr>
            <w:tcW w:w="1980" w:type="dxa"/>
            <w:vAlign w:val="center"/>
          </w:tcPr>
          <w:p w14:paraId="41969D13"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w:t>
            </w:r>
          </w:p>
        </w:tc>
        <w:tc>
          <w:tcPr>
            <w:tcW w:w="2880" w:type="dxa"/>
          </w:tcPr>
          <w:p w14:paraId="4A14C183"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eastAsia="Work Sans" w:hAnsi="Cambria" w:cs="Work Sans"/>
                <w:color w:val="000000" w:themeColor="text1"/>
                <w:sz w:val="20"/>
                <w:szCs w:val="20"/>
              </w:rPr>
              <w:t>Brother (sic)</w:t>
            </w:r>
          </w:p>
        </w:tc>
      </w:tr>
      <w:tr w:rsidR="00B83DF6" w:rsidRPr="00FF60B6" w14:paraId="4C536BB3" w14:textId="77777777" w:rsidTr="00DD3924">
        <w:tc>
          <w:tcPr>
            <w:tcW w:w="3055" w:type="dxa"/>
            <w:vAlign w:val="center"/>
          </w:tcPr>
          <w:p w14:paraId="42A714A2" w14:textId="77777777" w:rsidR="00B83DF6" w:rsidRPr="008D37BF" w:rsidRDefault="00B83DF6" w:rsidP="00285302">
            <w:pPr>
              <w:pStyle w:val="NormalWeb"/>
              <w:spacing w:before="0" w:beforeAutospacing="0" w:after="0" w:afterAutospacing="0"/>
              <w:ind w:left="150" w:right="60"/>
              <w:jc w:val="center"/>
              <w:rPr>
                <w:rFonts w:ascii="Cambria" w:hAnsi="Cambria"/>
                <w:color w:val="000000"/>
                <w:sz w:val="20"/>
                <w:szCs w:val="20"/>
              </w:rPr>
            </w:pPr>
            <w:r w:rsidRPr="008D37BF">
              <w:rPr>
                <w:rFonts w:ascii="Cambria" w:eastAsia="Work Sans" w:hAnsi="Cambria" w:cs="Work Sans"/>
                <w:color w:val="000000" w:themeColor="text1"/>
                <w:sz w:val="20"/>
                <w:szCs w:val="20"/>
              </w:rPr>
              <w:t>Leticia María Ciro</w:t>
            </w:r>
          </w:p>
        </w:tc>
        <w:tc>
          <w:tcPr>
            <w:tcW w:w="1980" w:type="dxa"/>
            <w:vAlign w:val="center"/>
          </w:tcPr>
          <w:p w14:paraId="1ECF75ED"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w:t>
            </w:r>
          </w:p>
        </w:tc>
        <w:tc>
          <w:tcPr>
            <w:tcW w:w="2880" w:type="dxa"/>
          </w:tcPr>
          <w:p w14:paraId="17EBCE3B"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eastAsia="Work Sans" w:hAnsi="Cambria" w:cs="Work Sans"/>
                <w:color w:val="000000" w:themeColor="text1"/>
                <w:sz w:val="20"/>
                <w:szCs w:val="20"/>
              </w:rPr>
              <w:t>Brother (sic)</w:t>
            </w:r>
          </w:p>
        </w:tc>
      </w:tr>
      <w:tr w:rsidR="00B83DF6" w:rsidRPr="00FF60B6" w14:paraId="207D510F" w14:textId="77777777" w:rsidTr="00DD3924">
        <w:tc>
          <w:tcPr>
            <w:tcW w:w="3055" w:type="dxa"/>
            <w:vAlign w:val="center"/>
          </w:tcPr>
          <w:p w14:paraId="375789B2" w14:textId="77777777" w:rsidR="00B83DF6" w:rsidRPr="008D37BF" w:rsidRDefault="00B83DF6" w:rsidP="00285302">
            <w:pPr>
              <w:pStyle w:val="NormalWeb"/>
              <w:spacing w:before="0" w:beforeAutospacing="0" w:after="0" w:afterAutospacing="0"/>
              <w:ind w:left="150" w:right="60"/>
              <w:jc w:val="center"/>
              <w:rPr>
                <w:rFonts w:ascii="Cambria" w:hAnsi="Cambria"/>
                <w:color w:val="000000"/>
                <w:sz w:val="20"/>
                <w:szCs w:val="20"/>
              </w:rPr>
            </w:pPr>
            <w:r w:rsidRPr="008D37BF">
              <w:rPr>
                <w:rFonts w:ascii="Cambria" w:eastAsia="Work Sans" w:hAnsi="Cambria" w:cs="Work Sans"/>
                <w:color w:val="000000" w:themeColor="text1"/>
                <w:sz w:val="20"/>
                <w:szCs w:val="20"/>
              </w:rPr>
              <w:t>Guillermo León Ciro</w:t>
            </w:r>
          </w:p>
        </w:tc>
        <w:tc>
          <w:tcPr>
            <w:tcW w:w="1980" w:type="dxa"/>
            <w:vAlign w:val="center"/>
          </w:tcPr>
          <w:p w14:paraId="344A3912"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hAnsi="Cambria"/>
                <w:color w:val="000000"/>
                <w:sz w:val="20"/>
                <w:szCs w:val="20"/>
              </w:rPr>
              <w:t>[…]</w:t>
            </w:r>
          </w:p>
        </w:tc>
        <w:tc>
          <w:tcPr>
            <w:tcW w:w="2880" w:type="dxa"/>
          </w:tcPr>
          <w:p w14:paraId="1E7C455A" w14:textId="77777777" w:rsidR="00B83DF6" w:rsidRPr="008D37BF" w:rsidRDefault="00B83DF6" w:rsidP="00285302">
            <w:pPr>
              <w:pStyle w:val="NormalWeb"/>
              <w:spacing w:before="0" w:beforeAutospacing="0" w:after="0" w:afterAutospacing="0"/>
              <w:ind w:left="720" w:right="720"/>
              <w:jc w:val="center"/>
              <w:rPr>
                <w:rFonts w:ascii="Cambria" w:hAnsi="Cambria"/>
                <w:color w:val="000000"/>
                <w:sz w:val="20"/>
                <w:szCs w:val="20"/>
              </w:rPr>
            </w:pPr>
            <w:r w:rsidRPr="008D37BF">
              <w:rPr>
                <w:rFonts w:ascii="Cambria" w:eastAsia="Work Sans" w:hAnsi="Cambria" w:cs="Work Sans"/>
                <w:color w:val="000000" w:themeColor="text1"/>
                <w:sz w:val="20"/>
                <w:szCs w:val="20"/>
              </w:rPr>
              <w:t>Brother</w:t>
            </w:r>
          </w:p>
        </w:tc>
      </w:tr>
    </w:tbl>
    <w:p w14:paraId="029B6B3E" w14:textId="77777777" w:rsidR="00B83DF6" w:rsidRPr="00FF60B6" w:rsidRDefault="00B83DF6" w:rsidP="00B83DF6">
      <w:pPr>
        <w:pStyle w:val="NormalWeb"/>
        <w:spacing w:before="0" w:beforeAutospacing="0" w:after="0" w:afterAutospacing="0"/>
        <w:ind w:left="720" w:right="720"/>
        <w:jc w:val="both"/>
        <w:rPr>
          <w:rFonts w:ascii="Cambria" w:hAnsi="Cambria"/>
          <w:color w:val="000000"/>
          <w:sz w:val="20"/>
          <w:szCs w:val="20"/>
          <w:highlight w:val="yellow"/>
        </w:rPr>
      </w:pPr>
    </w:p>
    <w:p w14:paraId="1F6DE53E" w14:textId="77777777" w:rsidR="00B83DF6" w:rsidRPr="008D37BF" w:rsidRDefault="00B83DF6" w:rsidP="00B83DF6">
      <w:pPr>
        <w:pStyle w:val="NormalWeb"/>
        <w:spacing w:before="0" w:beforeAutospacing="0" w:after="0" w:afterAutospacing="0"/>
        <w:ind w:left="720" w:right="720"/>
        <w:jc w:val="both"/>
        <w:rPr>
          <w:rFonts w:ascii="Cambria" w:hAnsi="Cambria"/>
          <w:color w:val="000000"/>
          <w:sz w:val="20"/>
          <w:szCs w:val="20"/>
        </w:rPr>
      </w:pPr>
      <w:r w:rsidRPr="008D37BF">
        <w:rPr>
          <w:rFonts w:ascii="Cambria" w:hAnsi="Cambria"/>
          <w:color w:val="000000"/>
          <w:sz w:val="20"/>
          <w:szCs w:val="20"/>
        </w:rPr>
        <w:t>The victims recognized herein shall benefit as long as they prove their relationship by consanguinity and affinity to Mr. Edwin Hernán Ciro.</w:t>
      </w:r>
    </w:p>
    <w:p w14:paraId="56004C73" w14:textId="77777777" w:rsidR="00B83DF6" w:rsidRPr="008D37BF" w:rsidRDefault="00B83DF6" w:rsidP="00B83DF6">
      <w:pPr>
        <w:pStyle w:val="NormalWeb"/>
        <w:spacing w:before="0" w:beforeAutospacing="0" w:after="0" w:afterAutospacing="0"/>
        <w:ind w:left="720" w:right="720"/>
        <w:jc w:val="both"/>
        <w:rPr>
          <w:rFonts w:ascii="Cambria" w:hAnsi="Cambria"/>
          <w:color w:val="000000"/>
          <w:sz w:val="20"/>
          <w:szCs w:val="20"/>
        </w:rPr>
      </w:pPr>
    </w:p>
    <w:p w14:paraId="6481A8D9" w14:textId="77777777" w:rsidR="00B83DF6" w:rsidRPr="008D37BF" w:rsidRDefault="00B83DF6" w:rsidP="00B83DF6">
      <w:pPr>
        <w:pStyle w:val="NormalWeb"/>
        <w:spacing w:before="0" w:beforeAutospacing="0" w:after="0" w:afterAutospacing="0"/>
        <w:ind w:left="720" w:right="720"/>
        <w:jc w:val="both"/>
        <w:rPr>
          <w:rFonts w:ascii="Cambria" w:hAnsi="Cambria"/>
          <w:color w:val="000000"/>
          <w:sz w:val="20"/>
          <w:szCs w:val="20"/>
        </w:rPr>
      </w:pPr>
      <w:r w:rsidRPr="008D37BF">
        <w:rPr>
          <w:rFonts w:ascii="Cambria" w:hAnsi="Cambria"/>
          <w:color w:val="000000"/>
          <w:sz w:val="20"/>
          <w:szCs w:val="20"/>
        </w:rPr>
        <w:t>Additionally, the victims who will benefit from this Friendly Settlement Agreement will be those who were alive at the time of the victimizing deed and are alive at the time of the signing of this Agreement.</w:t>
      </w:r>
      <w:r w:rsidRPr="008D37BF">
        <w:rPr>
          <w:rStyle w:val="FootnoteReference"/>
          <w:rFonts w:ascii="Cambria" w:eastAsia="Trebuchet MS" w:hAnsi="Cambria"/>
          <w:sz w:val="20"/>
          <w:szCs w:val="20"/>
        </w:rPr>
        <w:footnoteReference w:id="15"/>
      </w:r>
    </w:p>
    <w:p w14:paraId="5D377B33" w14:textId="77777777" w:rsidR="00B83DF6" w:rsidRPr="00FF60B6" w:rsidRDefault="00B83DF6" w:rsidP="00B83DF6">
      <w:pPr>
        <w:pStyle w:val="NormalWeb"/>
        <w:spacing w:before="0" w:beforeAutospacing="0" w:after="0" w:afterAutospacing="0"/>
        <w:ind w:left="720" w:right="720"/>
        <w:jc w:val="both"/>
        <w:rPr>
          <w:rFonts w:ascii="Cambria" w:hAnsi="Cambria"/>
          <w:color w:val="000000"/>
          <w:sz w:val="20"/>
          <w:szCs w:val="20"/>
          <w:highlight w:val="yellow"/>
        </w:rPr>
      </w:pPr>
    </w:p>
    <w:p w14:paraId="347E42B9" w14:textId="719F4CA6" w:rsidR="00B83DF6" w:rsidRPr="00F03D94" w:rsidRDefault="00B83DF6" w:rsidP="00B83DF6">
      <w:pPr>
        <w:pStyle w:val="NormalWeb"/>
        <w:spacing w:before="0" w:beforeAutospacing="0" w:after="0" w:afterAutospacing="0"/>
        <w:ind w:left="720" w:right="720"/>
        <w:jc w:val="center"/>
        <w:rPr>
          <w:rFonts w:ascii="Cambria" w:hAnsi="Cambria"/>
          <w:b/>
          <w:bCs/>
          <w:color w:val="000000"/>
          <w:sz w:val="20"/>
          <w:szCs w:val="20"/>
        </w:rPr>
      </w:pPr>
      <w:r w:rsidRPr="00F03D94">
        <w:rPr>
          <w:rFonts w:ascii="Cambria" w:hAnsi="Cambria"/>
          <w:b/>
          <w:bCs/>
          <w:color w:val="000000"/>
          <w:sz w:val="20"/>
          <w:szCs w:val="20"/>
        </w:rPr>
        <w:t>PART FOUR</w:t>
      </w:r>
      <w:r w:rsidR="00A3142A" w:rsidRPr="00F03D94">
        <w:rPr>
          <w:rFonts w:ascii="Cambria" w:hAnsi="Cambria"/>
          <w:b/>
          <w:bCs/>
          <w:color w:val="000000"/>
          <w:sz w:val="20"/>
          <w:szCs w:val="20"/>
        </w:rPr>
        <w:t>:</w:t>
      </w:r>
      <w:r w:rsidRPr="00F03D94">
        <w:rPr>
          <w:rFonts w:ascii="Cambria" w:hAnsi="Cambria"/>
          <w:b/>
          <w:bCs/>
          <w:color w:val="000000"/>
          <w:sz w:val="20"/>
          <w:szCs w:val="20"/>
        </w:rPr>
        <w:t xml:space="preserve"> ACKNOWLEDGEMENT OF RESPONSIBILITY</w:t>
      </w:r>
    </w:p>
    <w:p w14:paraId="6AD27BF6" w14:textId="77777777" w:rsidR="00B83DF6" w:rsidRPr="00F03D94" w:rsidRDefault="00B83DF6" w:rsidP="00B83DF6">
      <w:pPr>
        <w:pStyle w:val="NormalWeb"/>
        <w:spacing w:before="0" w:beforeAutospacing="0" w:after="0" w:afterAutospacing="0"/>
        <w:ind w:left="720" w:right="720"/>
        <w:jc w:val="center"/>
        <w:rPr>
          <w:rFonts w:ascii="Cambria" w:hAnsi="Cambria"/>
          <w:b/>
          <w:bCs/>
          <w:color w:val="000000"/>
          <w:sz w:val="20"/>
          <w:szCs w:val="20"/>
        </w:rPr>
      </w:pPr>
    </w:p>
    <w:p w14:paraId="27EA7485" w14:textId="77777777" w:rsidR="00B83DF6" w:rsidRPr="00F03D94" w:rsidRDefault="00B83DF6" w:rsidP="00B83DF6">
      <w:pPr>
        <w:pStyle w:val="NormalWeb"/>
        <w:spacing w:before="0" w:beforeAutospacing="0" w:after="0" w:afterAutospacing="0"/>
        <w:ind w:left="720" w:right="720"/>
        <w:jc w:val="both"/>
        <w:rPr>
          <w:rFonts w:ascii="Cambria" w:hAnsi="Cambria"/>
          <w:color w:val="000000"/>
          <w:sz w:val="20"/>
          <w:szCs w:val="20"/>
        </w:rPr>
      </w:pPr>
      <w:r w:rsidRPr="00F03D94">
        <w:rPr>
          <w:rFonts w:ascii="Cambria" w:hAnsi="Cambria"/>
          <w:color w:val="000000"/>
          <w:sz w:val="20"/>
          <w:szCs w:val="20"/>
        </w:rPr>
        <w:t>The Colombian State acknowledges that it bears international responsibility by omission for the violations of the rights recognized in Articles 8 (right to a fair trial) and 25 (right to judicial protection) of the American Convention, in relation to Article 1(1) (obligation to respect rights) of the same instrument, to the detriment of the relatives of Mr. Edwin Hernán Ciro, due to the lack of a diligent investigation of the events that occurred, which resulted in the failure to identify, prosecute, and punish those responsible for his murder.</w:t>
      </w:r>
    </w:p>
    <w:p w14:paraId="6884D85F" w14:textId="77777777" w:rsidR="00B83DF6" w:rsidRPr="00F03D94" w:rsidRDefault="00B83DF6" w:rsidP="00B83DF6">
      <w:pPr>
        <w:pStyle w:val="NormalWeb"/>
        <w:spacing w:before="0" w:beforeAutospacing="0" w:after="0" w:afterAutospacing="0"/>
        <w:ind w:left="720" w:right="720"/>
        <w:jc w:val="both"/>
        <w:rPr>
          <w:rFonts w:ascii="Cambria" w:hAnsi="Cambria"/>
          <w:color w:val="000000"/>
          <w:sz w:val="20"/>
          <w:szCs w:val="20"/>
        </w:rPr>
      </w:pPr>
    </w:p>
    <w:p w14:paraId="4B6DAE58" w14:textId="1D45ADE8" w:rsidR="00B83DF6" w:rsidRPr="00C16AEF" w:rsidRDefault="00B83DF6" w:rsidP="00B83DF6">
      <w:pPr>
        <w:pStyle w:val="NormalWeb"/>
        <w:spacing w:before="0" w:beforeAutospacing="0" w:after="0" w:afterAutospacing="0"/>
        <w:ind w:left="720" w:right="720"/>
        <w:jc w:val="center"/>
        <w:rPr>
          <w:rFonts w:ascii="Cambria" w:hAnsi="Cambria"/>
          <w:b/>
          <w:bCs/>
          <w:color w:val="000000"/>
          <w:sz w:val="20"/>
          <w:szCs w:val="20"/>
        </w:rPr>
      </w:pPr>
      <w:r w:rsidRPr="00C16AEF">
        <w:rPr>
          <w:rFonts w:ascii="Cambria" w:hAnsi="Cambria"/>
          <w:b/>
          <w:bCs/>
          <w:color w:val="000000"/>
          <w:sz w:val="20"/>
          <w:szCs w:val="20"/>
        </w:rPr>
        <w:t>PART FIVE</w:t>
      </w:r>
      <w:r w:rsidR="00A3142A" w:rsidRPr="00C16AEF">
        <w:rPr>
          <w:rFonts w:ascii="Cambria" w:hAnsi="Cambria"/>
          <w:b/>
          <w:bCs/>
          <w:color w:val="000000"/>
          <w:sz w:val="20"/>
          <w:szCs w:val="20"/>
        </w:rPr>
        <w:t>:</w:t>
      </w:r>
      <w:r w:rsidRPr="00C16AEF">
        <w:rPr>
          <w:rFonts w:ascii="Cambria" w:hAnsi="Cambria"/>
          <w:b/>
          <w:bCs/>
          <w:color w:val="000000"/>
          <w:sz w:val="20"/>
          <w:szCs w:val="20"/>
        </w:rPr>
        <w:t xml:space="preserve"> SATISFACTION MEASURES</w:t>
      </w:r>
    </w:p>
    <w:p w14:paraId="49C64D25" w14:textId="77777777" w:rsidR="00B83DF6" w:rsidRPr="00C16AEF" w:rsidRDefault="00B83DF6" w:rsidP="00B83DF6">
      <w:pPr>
        <w:pStyle w:val="NormalWeb"/>
        <w:spacing w:before="0" w:beforeAutospacing="0" w:after="0" w:afterAutospacing="0"/>
        <w:ind w:left="720" w:right="720"/>
        <w:jc w:val="center"/>
        <w:rPr>
          <w:rFonts w:ascii="Cambria" w:hAnsi="Cambria"/>
          <w:b/>
          <w:bCs/>
          <w:color w:val="000000"/>
          <w:sz w:val="20"/>
          <w:szCs w:val="20"/>
        </w:rPr>
      </w:pPr>
    </w:p>
    <w:p w14:paraId="578A62DA" w14:textId="77777777" w:rsidR="00B83DF6" w:rsidRPr="00C16AEF" w:rsidRDefault="00B83DF6" w:rsidP="00B83DF6">
      <w:pPr>
        <w:pStyle w:val="NormalWeb"/>
        <w:spacing w:before="0" w:beforeAutospacing="0" w:after="0" w:afterAutospacing="0"/>
        <w:ind w:left="720" w:right="720"/>
        <w:rPr>
          <w:rFonts w:ascii="Cambria" w:hAnsi="Cambria"/>
          <w:color w:val="000000"/>
          <w:sz w:val="20"/>
          <w:szCs w:val="20"/>
        </w:rPr>
      </w:pPr>
      <w:r w:rsidRPr="00C16AEF">
        <w:rPr>
          <w:rFonts w:ascii="Cambria" w:hAnsi="Cambria"/>
          <w:color w:val="000000"/>
          <w:sz w:val="20"/>
          <w:szCs w:val="20"/>
        </w:rPr>
        <w:t xml:space="preserve">The Colombian State undertakes to adopt the following satisfaction measures: </w:t>
      </w:r>
    </w:p>
    <w:p w14:paraId="72FF19F0" w14:textId="77777777" w:rsidR="00B83DF6" w:rsidRPr="00C16AEF" w:rsidRDefault="00B83DF6" w:rsidP="00B83DF6">
      <w:pPr>
        <w:pStyle w:val="NormalWeb"/>
        <w:spacing w:before="0" w:beforeAutospacing="0" w:after="0" w:afterAutospacing="0"/>
        <w:ind w:left="720" w:right="720"/>
        <w:rPr>
          <w:rFonts w:ascii="Cambria" w:hAnsi="Cambria"/>
          <w:color w:val="000000"/>
          <w:sz w:val="20"/>
          <w:szCs w:val="20"/>
        </w:rPr>
      </w:pPr>
    </w:p>
    <w:p w14:paraId="3F92F6BC" w14:textId="77777777" w:rsidR="00B83DF6" w:rsidRPr="00C16AEF" w:rsidRDefault="00B83DF6" w:rsidP="00F70E8B">
      <w:pPr>
        <w:pStyle w:val="NormalWeb"/>
        <w:numPr>
          <w:ilvl w:val="2"/>
          <w:numId w:val="57"/>
        </w:numPr>
        <w:spacing w:before="0" w:beforeAutospacing="0" w:after="0" w:afterAutospacing="0"/>
        <w:ind w:left="720" w:right="720" w:firstLine="0"/>
        <w:jc w:val="both"/>
        <w:rPr>
          <w:rFonts w:ascii="Cambria" w:hAnsi="Cambria"/>
          <w:b/>
          <w:bCs/>
          <w:color w:val="000000"/>
          <w:sz w:val="20"/>
          <w:szCs w:val="20"/>
        </w:rPr>
      </w:pPr>
      <w:r w:rsidRPr="00C16AEF">
        <w:rPr>
          <w:rFonts w:ascii="Cambria" w:hAnsi="Cambria"/>
          <w:b/>
          <w:bCs/>
          <w:color w:val="000000"/>
          <w:sz w:val="20"/>
          <w:szCs w:val="20"/>
        </w:rPr>
        <w:t>Act of Acknowledgment of Responsibility</w:t>
      </w:r>
    </w:p>
    <w:p w14:paraId="04106F87" w14:textId="77777777" w:rsidR="00B83DF6" w:rsidRPr="00C16AEF" w:rsidRDefault="00B83DF6" w:rsidP="00B83DF6">
      <w:pPr>
        <w:pStyle w:val="NormalWeb"/>
        <w:tabs>
          <w:tab w:val="left" w:pos="1276"/>
        </w:tabs>
        <w:spacing w:before="0" w:beforeAutospacing="0" w:after="0" w:afterAutospacing="0"/>
        <w:ind w:left="720" w:right="720"/>
        <w:jc w:val="both"/>
        <w:rPr>
          <w:rFonts w:ascii="Cambria" w:hAnsi="Cambria"/>
          <w:b/>
          <w:bCs/>
          <w:color w:val="000000"/>
          <w:sz w:val="20"/>
          <w:szCs w:val="20"/>
        </w:rPr>
      </w:pPr>
    </w:p>
    <w:p w14:paraId="059350BC" w14:textId="77777777" w:rsidR="00B83DF6" w:rsidRPr="00C16AEF" w:rsidRDefault="00B83DF6" w:rsidP="00B83DF6">
      <w:pPr>
        <w:pStyle w:val="NormalWeb"/>
        <w:spacing w:before="0" w:beforeAutospacing="0" w:after="0" w:afterAutospacing="0"/>
        <w:ind w:left="720" w:right="720"/>
        <w:jc w:val="both"/>
        <w:rPr>
          <w:rFonts w:ascii="Cambria" w:hAnsi="Cambria"/>
          <w:color w:val="000000"/>
          <w:sz w:val="20"/>
          <w:szCs w:val="20"/>
        </w:rPr>
      </w:pPr>
      <w:r w:rsidRPr="00C16AEF">
        <w:rPr>
          <w:rFonts w:ascii="Cambria" w:hAnsi="Cambria"/>
          <w:color w:val="000000"/>
          <w:sz w:val="20"/>
          <w:szCs w:val="20"/>
        </w:rPr>
        <w:t xml:space="preserve">The Colombian State will hold a virtual Public Act of Acknowledgment of Responsibility with the participation of the next of kin of Mr. Edwin Hernán Ciro and the petitioner. The act shall consistent with the acknowledgment of responsibility set forth in this Agreement. </w:t>
      </w:r>
    </w:p>
    <w:p w14:paraId="7F8CE2BB" w14:textId="77777777" w:rsidR="00B83DF6" w:rsidRPr="00C16AEF" w:rsidRDefault="00B83DF6" w:rsidP="00B83DF6">
      <w:pPr>
        <w:pStyle w:val="NormalWeb"/>
        <w:spacing w:before="0" w:beforeAutospacing="0" w:after="0" w:afterAutospacing="0"/>
        <w:ind w:left="720" w:right="720"/>
        <w:jc w:val="both"/>
        <w:rPr>
          <w:rFonts w:ascii="Cambria" w:hAnsi="Cambria"/>
          <w:color w:val="000000"/>
          <w:sz w:val="20"/>
          <w:szCs w:val="20"/>
        </w:rPr>
      </w:pPr>
    </w:p>
    <w:p w14:paraId="5AE3271A" w14:textId="77777777" w:rsidR="00B83DF6" w:rsidRPr="00C16AEF" w:rsidRDefault="00B83DF6" w:rsidP="00B83DF6">
      <w:pPr>
        <w:pStyle w:val="NormalWeb"/>
        <w:spacing w:before="0" w:beforeAutospacing="0" w:after="0" w:afterAutospacing="0"/>
        <w:ind w:left="720" w:right="720"/>
        <w:jc w:val="both"/>
        <w:rPr>
          <w:rFonts w:ascii="Cambria" w:hAnsi="Cambria"/>
          <w:color w:val="000000"/>
          <w:sz w:val="20"/>
          <w:szCs w:val="20"/>
        </w:rPr>
      </w:pPr>
      <w:r w:rsidRPr="00C16AEF">
        <w:rPr>
          <w:rFonts w:ascii="Cambria" w:hAnsi="Cambria"/>
          <w:color w:val="000000"/>
          <w:sz w:val="20"/>
          <w:szCs w:val="20"/>
        </w:rPr>
        <w:t xml:space="preserve">This measure will be the responsibility of the National Agency for the Legal Defense of the State. </w:t>
      </w:r>
    </w:p>
    <w:p w14:paraId="5760045C" w14:textId="77777777" w:rsidR="00B83DF6" w:rsidRPr="00FF60B6" w:rsidRDefault="00B83DF6" w:rsidP="00B83DF6">
      <w:pPr>
        <w:pStyle w:val="NormalWeb"/>
        <w:spacing w:before="0" w:beforeAutospacing="0" w:after="0" w:afterAutospacing="0"/>
        <w:ind w:left="720" w:right="720"/>
        <w:jc w:val="both"/>
        <w:rPr>
          <w:rFonts w:ascii="Cambria" w:hAnsi="Cambria"/>
          <w:color w:val="000000"/>
          <w:sz w:val="20"/>
          <w:szCs w:val="20"/>
          <w:highlight w:val="yellow"/>
        </w:rPr>
      </w:pPr>
    </w:p>
    <w:p w14:paraId="19941730" w14:textId="77777777" w:rsidR="00B83DF6" w:rsidRPr="00C16AEF" w:rsidRDefault="00B83DF6" w:rsidP="00F70E8B">
      <w:pPr>
        <w:pStyle w:val="NormalWeb"/>
        <w:numPr>
          <w:ilvl w:val="2"/>
          <w:numId w:val="57"/>
        </w:numPr>
        <w:spacing w:before="0" w:beforeAutospacing="0" w:after="0" w:afterAutospacing="0"/>
        <w:ind w:left="720" w:right="720" w:firstLine="0"/>
        <w:jc w:val="both"/>
        <w:rPr>
          <w:rFonts w:ascii="Cambria" w:hAnsi="Cambria"/>
          <w:b/>
          <w:bCs/>
          <w:color w:val="000000"/>
          <w:sz w:val="20"/>
          <w:szCs w:val="20"/>
        </w:rPr>
      </w:pPr>
      <w:r w:rsidRPr="00C16AEF">
        <w:rPr>
          <w:rFonts w:ascii="Cambria" w:hAnsi="Cambria"/>
          <w:b/>
          <w:bCs/>
          <w:color w:val="000000"/>
          <w:sz w:val="20"/>
          <w:szCs w:val="20"/>
        </w:rPr>
        <w:t>Working Group Meetings with the Ministry of Housing, Urban, and Territorial Affairs</w:t>
      </w:r>
    </w:p>
    <w:p w14:paraId="614A5724" w14:textId="77777777" w:rsidR="00B83DF6" w:rsidRPr="00C16AEF" w:rsidRDefault="00B83DF6" w:rsidP="00B83DF6">
      <w:pPr>
        <w:pStyle w:val="NormalWeb"/>
        <w:spacing w:before="0" w:beforeAutospacing="0" w:after="0" w:afterAutospacing="0"/>
        <w:ind w:left="720" w:right="720"/>
        <w:jc w:val="both"/>
        <w:rPr>
          <w:rFonts w:ascii="Cambria" w:hAnsi="Cambria"/>
          <w:color w:val="000000"/>
          <w:sz w:val="20"/>
          <w:szCs w:val="20"/>
        </w:rPr>
      </w:pPr>
    </w:p>
    <w:p w14:paraId="7BFDDD96" w14:textId="77777777" w:rsidR="00B83DF6" w:rsidRPr="00C16AEF" w:rsidRDefault="00B83DF6" w:rsidP="00B83DF6">
      <w:pPr>
        <w:pStyle w:val="NormalWeb"/>
        <w:spacing w:before="0" w:beforeAutospacing="0" w:after="0" w:afterAutospacing="0"/>
        <w:ind w:left="720" w:right="720"/>
        <w:jc w:val="both"/>
        <w:rPr>
          <w:rFonts w:ascii="Cambria" w:hAnsi="Cambria"/>
          <w:color w:val="000000"/>
          <w:sz w:val="20"/>
          <w:szCs w:val="20"/>
        </w:rPr>
      </w:pPr>
      <w:r w:rsidRPr="00C16AEF">
        <w:rPr>
          <w:rFonts w:ascii="Cambria" w:hAnsi="Cambria"/>
          <w:color w:val="000000"/>
          <w:sz w:val="20"/>
          <w:szCs w:val="20"/>
        </w:rPr>
        <w:t>The Colombian State, through the Ministry of Housing, Urban, and Territorial Affairs, will hold three (3) working group meetings with the beneficiaries of the Friendly Settlement Agreement, if they so wish, in order to present the institutional offer established by the Colombian State for access to housing programs, including the requirements and the form of access to that offer.</w:t>
      </w:r>
    </w:p>
    <w:p w14:paraId="552AB7B4" w14:textId="77777777" w:rsidR="00B83DF6" w:rsidRPr="00C16AEF" w:rsidRDefault="00B83DF6" w:rsidP="00B83DF6">
      <w:pPr>
        <w:pStyle w:val="NormalWeb"/>
        <w:spacing w:before="0" w:beforeAutospacing="0" w:after="0" w:afterAutospacing="0"/>
        <w:ind w:left="720" w:right="720"/>
        <w:jc w:val="both"/>
        <w:rPr>
          <w:rFonts w:ascii="Cambria" w:hAnsi="Cambria"/>
          <w:color w:val="000000"/>
          <w:sz w:val="20"/>
          <w:szCs w:val="20"/>
        </w:rPr>
      </w:pPr>
    </w:p>
    <w:p w14:paraId="62D66A1A" w14:textId="77777777" w:rsidR="00B83DF6" w:rsidRPr="00C16AEF" w:rsidRDefault="00B83DF6" w:rsidP="00B83DF6">
      <w:pPr>
        <w:pStyle w:val="NormalWeb"/>
        <w:spacing w:before="0" w:beforeAutospacing="0" w:after="0" w:afterAutospacing="0"/>
        <w:ind w:left="720" w:right="720"/>
        <w:jc w:val="both"/>
        <w:rPr>
          <w:rFonts w:ascii="Cambria" w:hAnsi="Cambria"/>
          <w:color w:val="000000"/>
          <w:sz w:val="20"/>
          <w:szCs w:val="20"/>
        </w:rPr>
      </w:pPr>
      <w:r w:rsidRPr="00C16AEF">
        <w:rPr>
          <w:rFonts w:ascii="Cambria" w:hAnsi="Cambria"/>
          <w:color w:val="000000"/>
          <w:sz w:val="20"/>
          <w:szCs w:val="20"/>
        </w:rPr>
        <w:t>Implementation of this measure will not imply the automatic granting to the beneficiaries of family or in-kind housing subsidies or housing improvements, since this will depend on the beneficiaries' willingness to access any of the programs included in the institutional offer presented, as well as the fulfillment of the corresponding requirements within the deadlines established in each program.</w:t>
      </w:r>
    </w:p>
    <w:p w14:paraId="56B14EFF" w14:textId="77777777" w:rsidR="00B83DF6" w:rsidRPr="00C16AEF" w:rsidRDefault="00B83DF6" w:rsidP="00B83DF6">
      <w:pPr>
        <w:pStyle w:val="NormalWeb"/>
        <w:spacing w:before="0" w:beforeAutospacing="0" w:after="0" w:afterAutospacing="0"/>
        <w:ind w:left="720" w:right="720"/>
        <w:jc w:val="both"/>
        <w:rPr>
          <w:rFonts w:ascii="Cambria" w:hAnsi="Cambria"/>
          <w:color w:val="000000"/>
          <w:sz w:val="20"/>
          <w:szCs w:val="20"/>
        </w:rPr>
      </w:pPr>
    </w:p>
    <w:p w14:paraId="6B306786" w14:textId="77777777" w:rsidR="00B83DF6" w:rsidRPr="00C16AEF" w:rsidRDefault="00B83DF6" w:rsidP="00B83DF6">
      <w:pPr>
        <w:pStyle w:val="NormalWeb"/>
        <w:spacing w:before="0" w:beforeAutospacing="0" w:after="0" w:afterAutospacing="0"/>
        <w:ind w:left="720" w:right="720"/>
        <w:jc w:val="both"/>
        <w:rPr>
          <w:rFonts w:ascii="Cambria" w:hAnsi="Cambria"/>
          <w:color w:val="000000"/>
          <w:sz w:val="20"/>
          <w:szCs w:val="20"/>
        </w:rPr>
      </w:pPr>
      <w:r w:rsidRPr="00C16AEF">
        <w:rPr>
          <w:rFonts w:ascii="Cambria" w:hAnsi="Cambria"/>
          <w:color w:val="000000"/>
          <w:sz w:val="20"/>
          <w:szCs w:val="20"/>
        </w:rPr>
        <w:t>This measure will be implemented upon the signing of the Friendly Settlement Agreement.</w:t>
      </w:r>
      <w:r w:rsidRPr="00C16AEF">
        <w:rPr>
          <w:rStyle w:val="FootnoteReference"/>
          <w:rFonts w:ascii="Cambria" w:eastAsia="Trebuchet MS" w:hAnsi="Cambria"/>
          <w:sz w:val="20"/>
          <w:szCs w:val="20"/>
        </w:rPr>
        <w:footnoteReference w:id="16"/>
      </w:r>
    </w:p>
    <w:p w14:paraId="3B00662F" w14:textId="77777777" w:rsidR="00B83DF6" w:rsidRDefault="00B83DF6" w:rsidP="00B83DF6">
      <w:pPr>
        <w:pStyle w:val="paragraph"/>
        <w:spacing w:before="0" w:beforeAutospacing="0" w:after="0" w:afterAutospacing="0"/>
        <w:ind w:left="720" w:right="720"/>
        <w:textAlignment w:val="baseline"/>
        <w:rPr>
          <w:rFonts w:ascii="Cambria" w:hAnsi="Cambria" w:cs="Segoe UI"/>
          <w:sz w:val="20"/>
          <w:szCs w:val="20"/>
          <w:highlight w:val="yellow"/>
        </w:rPr>
      </w:pPr>
    </w:p>
    <w:p w14:paraId="1FB9690D" w14:textId="77777777" w:rsidR="004F5E91" w:rsidRDefault="004F5E91" w:rsidP="00B83DF6">
      <w:pPr>
        <w:pStyle w:val="paragraph"/>
        <w:spacing w:before="0" w:beforeAutospacing="0" w:after="0" w:afterAutospacing="0"/>
        <w:ind w:left="720" w:right="720"/>
        <w:textAlignment w:val="baseline"/>
        <w:rPr>
          <w:rFonts w:ascii="Cambria" w:hAnsi="Cambria" w:cs="Segoe UI"/>
          <w:sz w:val="20"/>
          <w:szCs w:val="20"/>
          <w:highlight w:val="yellow"/>
        </w:rPr>
      </w:pPr>
    </w:p>
    <w:p w14:paraId="4133F1E5" w14:textId="77777777" w:rsidR="004F5E91" w:rsidRDefault="004F5E91" w:rsidP="00B83DF6">
      <w:pPr>
        <w:pStyle w:val="paragraph"/>
        <w:spacing w:before="0" w:beforeAutospacing="0" w:after="0" w:afterAutospacing="0"/>
        <w:ind w:left="720" w:right="720"/>
        <w:textAlignment w:val="baseline"/>
        <w:rPr>
          <w:rFonts w:ascii="Cambria" w:hAnsi="Cambria" w:cs="Segoe UI"/>
          <w:sz w:val="20"/>
          <w:szCs w:val="20"/>
          <w:highlight w:val="yellow"/>
        </w:rPr>
      </w:pPr>
    </w:p>
    <w:p w14:paraId="535692F3" w14:textId="77777777" w:rsidR="004F5E91" w:rsidRDefault="004F5E91" w:rsidP="00B83DF6">
      <w:pPr>
        <w:pStyle w:val="paragraph"/>
        <w:spacing w:before="0" w:beforeAutospacing="0" w:after="0" w:afterAutospacing="0"/>
        <w:ind w:left="720" w:right="720"/>
        <w:textAlignment w:val="baseline"/>
        <w:rPr>
          <w:rFonts w:ascii="Cambria" w:hAnsi="Cambria" w:cs="Segoe UI"/>
          <w:sz w:val="20"/>
          <w:szCs w:val="20"/>
          <w:highlight w:val="yellow"/>
        </w:rPr>
      </w:pPr>
    </w:p>
    <w:p w14:paraId="42EC0005" w14:textId="77777777" w:rsidR="006D10A8" w:rsidRPr="00FF60B6" w:rsidRDefault="006D10A8" w:rsidP="00B83DF6">
      <w:pPr>
        <w:pStyle w:val="paragraph"/>
        <w:spacing w:before="0" w:beforeAutospacing="0" w:after="0" w:afterAutospacing="0"/>
        <w:ind w:left="720" w:right="720"/>
        <w:textAlignment w:val="baseline"/>
        <w:rPr>
          <w:rFonts w:ascii="Cambria" w:hAnsi="Cambria" w:cs="Segoe UI"/>
          <w:sz w:val="20"/>
          <w:szCs w:val="20"/>
          <w:highlight w:val="yellow"/>
        </w:rPr>
      </w:pPr>
    </w:p>
    <w:p w14:paraId="195CDF23" w14:textId="29A508C8" w:rsidR="00B83DF6" w:rsidRPr="00C16AEF" w:rsidRDefault="00B83DF6" w:rsidP="00B83DF6">
      <w:pPr>
        <w:pStyle w:val="paragraph"/>
        <w:spacing w:before="0" w:beforeAutospacing="0" w:after="0" w:afterAutospacing="0"/>
        <w:ind w:left="720" w:right="720"/>
        <w:jc w:val="center"/>
        <w:textAlignment w:val="baseline"/>
        <w:rPr>
          <w:rFonts w:ascii="Cambria" w:hAnsi="Cambria" w:cs="Segoe UI"/>
          <w:b/>
          <w:bCs/>
          <w:sz w:val="20"/>
          <w:szCs w:val="20"/>
        </w:rPr>
      </w:pPr>
      <w:r w:rsidRPr="00C16AEF">
        <w:rPr>
          <w:rFonts w:ascii="Cambria" w:hAnsi="Cambria" w:cs="Segoe UI"/>
          <w:b/>
          <w:bCs/>
          <w:sz w:val="20"/>
          <w:szCs w:val="20"/>
        </w:rPr>
        <w:t>PART SIX</w:t>
      </w:r>
      <w:r w:rsidR="0019119B" w:rsidRPr="00C16AEF">
        <w:rPr>
          <w:rFonts w:ascii="Cambria" w:hAnsi="Cambria" w:cs="Segoe UI"/>
          <w:b/>
          <w:bCs/>
          <w:sz w:val="20"/>
          <w:szCs w:val="20"/>
        </w:rPr>
        <w:t>:</w:t>
      </w:r>
      <w:r w:rsidRPr="00C16AEF">
        <w:rPr>
          <w:rFonts w:ascii="Cambria" w:hAnsi="Cambria" w:cs="Segoe UI"/>
          <w:b/>
          <w:bCs/>
          <w:sz w:val="20"/>
          <w:szCs w:val="20"/>
        </w:rPr>
        <w:t xml:space="preserve"> COMPENSATION MEASURES</w:t>
      </w:r>
    </w:p>
    <w:p w14:paraId="1AE8EED3" w14:textId="77777777" w:rsidR="00B83DF6" w:rsidRPr="00FF60B6" w:rsidRDefault="00B83DF6" w:rsidP="00B83DF6">
      <w:pPr>
        <w:pStyle w:val="paragraph"/>
        <w:spacing w:before="0" w:beforeAutospacing="0" w:after="0" w:afterAutospacing="0"/>
        <w:ind w:left="720" w:right="720"/>
        <w:textAlignment w:val="baseline"/>
        <w:rPr>
          <w:rFonts w:ascii="Cambria" w:hAnsi="Cambria" w:cs="Segoe UI"/>
          <w:sz w:val="20"/>
          <w:szCs w:val="20"/>
          <w:highlight w:val="yellow"/>
        </w:rPr>
      </w:pPr>
    </w:p>
    <w:p w14:paraId="751ED576" w14:textId="77777777" w:rsidR="00B83DF6" w:rsidRPr="00613A3D"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r w:rsidRPr="00613A3D">
        <w:rPr>
          <w:rFonts w:ascii="Cambria" w:hAnsi="Cambria" w:cs="Segoe UI"/>
          <w:sz w:val="20"/>
          <w:szCs w:val="20"/>
        </w:rPr>
        <w:t>The State undertakes to initiate the processing of Law 288 of 1996 “establishing instruments for the compensation of damages to victims of human rights violations as provided by certain international human rights bodies." The process will begin once this friendly settlement agreement is approved through the adoption of a report under Article 49 of the American Convention in order to provide reparation for the injuries to victims' relatives resulting from the violations caused by the deeds committed in this case.</w:t>
      </w:r>
    </w:p>
    <w:p w14:paraId="3AF014A4" w14:textId="77777777" w:rsidR="00B83DF6" w:rsidRPr="00613A3D"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p>
    <w:p w14:paraId="2754AC53" w14:textId="77777777" w:rsidR="00B83DF6" w:rsidRPr="00613A3D"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r w:rsidRPr="00613A3D">
        <w:rPr>
          <w:rFonts w:ascii="Cambria" w:hAnsi="Cambria" w:cs="Segoe UI"/>
          <w:sz w:val="20"/>
          <w:szCs w:val="20"/>
        </w:rPr>
        <w:t>The National Agency for the Legal Defense of the State will be the entity in charge of the processing of Law 288 of 1996.</w:t>
      </w:r>
    </w:p>
    <w:p w14:paraId="7663B056" w14:textId="77777777" w:rsidR="00B83DF6" w:rsidRPr="00613A3D"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p>
    <w:p w14:paraId="6970B851" w14:textId="77777777" w:rsidR="00B83DF6" w:rsidRPr="00613A3D"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r w:rsidRPr="00613A3D">
        <w:rPr>
          <w:rFonts w:ascii="Cambria" w:hAnsi="Cambria" w:cs="Segoe UI"/>
          <w:sz w:val="20"/>
          <w:szCs w:val="20"/>
        </w:rPr>
        <w:t>For the purposes of compensation for damages and its verification, the criteria and amounts recognized by the current jurisprudence of the Council of State will be used.</w:t>
      </w:r>
    </w:p>
    <w:p w14:paraId="245BFCFB" w14:textId="77777777" w:rsidR="00B83DF6" w:rsidRPr="00613A3D"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p>
    <w:p w14:paraId="7804DED4" w14:textId="0B6DDB61" w:rsidR="00B83DF6" w:rsidRPr="00613A3D" w:rsidRDefault="00B83DF6" w:rsidP="00B83DF6">
      <w:pPr>
        <w:pStyle w:val="paragraph"/>
        <w:spacing w:before="0" w:beforeAutospacing="0" w:after="0" w:afterAutospacing="0"/>
        <w:ind w:left="720" w:right="720"/>
        <w:jc w:val="center"/>
        <w:textAlignment w:val="baseline"/>
        <w:rPr>
          <w:rFonts w:ascii="Cambria" w:hAnsi="Cambria" w:cs="Segoe UI"/>
          <w:b/>
          <w:bCs/>
          <w:sz w:val="20"/>
          <w:szCs w:val="20"/>
        </w:rPr>
      </w:pPr>
      <w:r w:rsidRPr="00613A3D">
        <w:rPr>
          <w:rFonts w:ascii="Cambria" w:hAnsi="Cambria" w:cs="Segoe UI"/>
          <w:b/>
          <w:bCs/>
          <w:sz w:val="20"/>
          <w:szCs w:val="20"/>
        </w:rPr>
        <w:t>PART NINE</w:t>
      </w:r>
      <w:r w:rsidR="00A3142A" w:rsidRPr="00613A3D">
        <w:rPr>
          <w:rFonts w:ascii="Cambria" w:hAnsi="Cambria" w:cs="Segoe UI"/>
          <w:b/>
          <w:bCs/>
          <w:sz w:val="20"/>
          <w:szCs w:val="20"/>
        </w:rPr>
        <w:t>:</w:t>
      </w:r>
      <w:r w:rsidRPr="00613A3D">
        <w:rPr>
          <w:rFonts w:ascii="Cambria" w:hAnsi="Cambria" w:cs="Segoe UI"/>
          <w:b/>
          <w:bCs/>
          <w:sz w:val="20"/>
          <w:szCs w:val="20"/>
        </w:rPr>
        <w:t xml:space="preserve"> APPROVAL AND FOLLOW-UP</w:t>
      </w:r>
    </w:p>
    <w:p w14:paraId="6DE56D50" w14:textId="77777777" w:rsidR="00B83DF6" w:rsidRPr="00613A3D"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p>
    <w:p w14:paraId="159F9179" w14:textId="77777777" w:rsidR="00B83DF6" w:rsidRPr="00613A3D"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r w:rsidRPr="00613A3D">
        <w:rPr>
          <w:rFonts w:ascii="Cambria" w:hAnsi="Cambria" w:cs="Segoe UI"/>
          <w:sz w:val="20"/>
          <w:szCs w:val="20"/>
        </w:rPr>
        <w:t>The parties request the Inter-American Commission to approve and follow up on this agreement.</w:t>
      </w:r>
    </w:p>
    <w:p w14:paraId="259C88BB" w14:textId="77777777" w:rsidR="00B83DF6" w:rsidRPr="00613A3D"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p>
    <w:p w14:paraId="01362323" w14:textId="77777777" w:rsidR="00B83DF6" w:rsidRPr="00796053" w:rsidRDefault="00B83DF6" w:rsidP="00B83DF6">
      <w:pPr>
        <w:pStyle w:val="paragraph"/>
        <w:spacing w:before="0" w:beforeAutospacing="0" w:after="0" w:afterAutospacing="0"/>
        <w:ind w:left="720" w:right="720"/>
        <w:jc w:val="both"/>
        <w:textAlignment w:val="baseline"/>
        <w:rPr>
          <w:rFonts w:ascii="Cambria" w:hAnsi="Cambria" w:cs="Segoe UI"/>
          <w:sz w:val="20"/>
          <w:szCs w:val="20"/>
        </w:rPr>
      </w:pPr>
      <w:r w:rsidRPr="00613A3D">
        <w:rPr>
          <w:rFonts w:ascii="Cambria" w:hAnsi="Cambria" w:cs="Segoe UI"/>
          <w:sz w:val="20"/>
          <w:szCs w:val="20"/>
        </w:rPr>
        <w:t>This Agreement having been read and the parties being aware of its scope and legal content, it is signed on July 26, 2022.</w:t>
      </w:r>
    </w:p>
    <w:p w14:paraId="581DE1E3" w14:textId="3E10447C" w:rsidR="00DA37B6" w:rsidRPr="00DA37B6" w:rsidRDefault="00DA37B6" w:rsidP="0026427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0D6FB8C1" w14:textId="77777777" w:rsidR="00DA37B6" w:rsidRPr="00FA675D" w:rsidRDefault="00DA37B6" w:rsidP="0026427B">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2A65AC" w:rsidRDefault="00FA675D" w:rsidP="00F70E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Pr>
          <w:rFonts w:eastAsia="MS Mincho" w:cstheme="minorHAnsi"/>
          <w:b/>
          <w:bCs/>
          <w:color w:val="000000" w:themeColor="text1"/>
          <w:sz w:val="20"/>
          <w:szCs w:val="20"/>
        </w:rPr>
        <w:t xml:space="preserve">DETERMINATION OF COMPATIBILITY AND COMPLIANCE </w:t>
      </w:r>
    </w:p>
    <w:p w14:paraId="7768A225" w14:textId="77777777" w:rsidR="002A65AC" w:rsidRDefault="002A65AC" w:rsidP="0026427B">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EFFC0C0" w14:textId="039F4F7C" w:rsidR="00DD5436" w:rsidRPr="00DD5436" w:rsidRDefault="00DD5436" w:rsidP="00F70E8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0" w:firstLine="720"/>
        <w:jc w:val="both"/>
        <w:rPr>
          <w:rFonts w:asciiTheme="majorHAnsi" w:eastAsia="MS Mincho" w:hAnsiTheme="majorHAnsi"/>
          <w:sz w:val="20"/>
          <w:szCs w:val="20"/>
        </w:rPr>
      </w:pPr>
      <w:r>
        <w:rPr>
          <w:rFonts w:asciiTheme="majorHAnsi" w:hAnsiTheme="majorHAnsi"/>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Pr>
          <w:rFonts w:asciiTheme="majorHAnsi" w:hAnsiTheme="majorHAnsi"/>
          <w:i/>
          <w:iCs/>
          <w:sz w:val="20"/>
          <w:szCs w:val="20"/>
          <w:bdr w:val="none" w:sz="0" w:space="0" w:color="auto" w:frame="1"/>
        </w:rPr>
        <w:t>pacta sunt servanda</w:t>
      </w:r>
      <w:r>
        <w:rPr>
          <w:rFonts w:asciiTheme="majorHAnsi" w:hAnsiTheme="majorHAnsi"/>
          <w:sz w:val="20"/>
          <w:szCs w:val="20"/>
          <w:bdr w:val="none" w:sz="0" w:space="0" w:color="auto" w:frame="1"/>
        </w:rPr>
        <w:t>, by which States must comply with the obligations assumed in the treaties in good faith.</w:t>
      </w:r>
      <w:r>
        <w:rPr>
          <w:rFonts w:asciiTheme="majorHAnsi" w:hAnsiTheme="majorHAnsi"/>
          <w:bdr w:val="none" w:sz="0" w:space="0" w:color="auto" w:frame="1"/>
          <w:vertAlign w:val="superscript"/>
        </w:rPr>
        <w:footnoteReference w:id="17"/>
      </w:r>
      <w:r>
        <w:rPr>
          <w:rFonts w:asciiTheme="majorHAnsi" w:hAnsiTheme="majorHAnsi"/>
          <w:sz w:val="20"/>
          <w:szCs w:val="20"/>
          <w:bdr w:val="none" w:sz="0" w:space="0" w:color="auto" w:frame="1"/>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36B02D95" w14:textId="77777777" w:rsidR="004B0287" w:rsidRPr="00DD5436" w:rsidRDefault="004B0287" w:rsidP="004B0287">
      <w:pPr>
        <w:pStyle w:val="paragraph"/>
        <w:spacing w:before="0" w:beforeAutospacing="0" w:after="0" w:afterAutospacing="0"/>
        <w:ind w:firstLine="720"/>
        <w:jc w:val="both"/>
        <w:textAlignment w:val="baseline"/>
        <w:rPr>
          <w:rFonts w:ascii="Cambria" w:hAnsi="Cambria" w:cs="Segoe UI"/>
          <w:sz w:val="20"/>
          <w:szCs w:val="20"/>
          <w:highlight w:val="yellow"/>
        </w:rPr>
      </w:pPr>
    </w:p>
    <w:p w14:paraId="1FD17A15" w14:textId="77777777" w:rsidR="004B0287" w:rsidRPr="00613A3D" w:rsidRDefault="004B0287" w:rsidP="00F70E8B">
      <w:pPr>
        <w:pStyle w:val="paragraph"/>
        <w:numPr>
          <w:ilvl w:val="0"/>
          <w:numId w:val="56"/>
        </w:numPr>
        <w:spacing w:before="0" w:beforeAutospacing="0" w:after="0" w:afterAutospacing="0"/>
        <w:ind w:left="0" w:firstLine="720"/>
        <w:jc w:val="both"/>
        <w:textAlignment w:val="baseline"/>
        <w:rPr>
          <w:rStyle w:val="normaltextrun"/>
          <w:rFonts w:ascii="Cambria" w:hAnsi="Cambria" w:cs="Segoe UI"/>
          <w:sz w:val="20"/>
          <w:szCs w:val="20"/>
        </w:rPr>
      </w:pPr>
      <w:r w:rsidRPr="00613A3D">
        <w:rPr>
          <w:rStyle w:val="normaltextrun"/>
          <w:rFonts w:ascii="Cambria" w:hAnsi="Cambria" w:cs="Segoe UI"/>
          <w:color w:val="000000"/>
          <w:sz w:val="20"/>
          <w:szCs w:val="20"/>
        </w:rPr>
        <w:t>The Inter-American Commission has closely monitored the progress of the friendly settlement reached in the present case and values the efforts that both parties in negotiating this friendly settlement agreement, which is compatible with the object and purpose of the Convention.</w:t>
      </w:r>
    </w:p>
    <w:p w14:paraId="42454003" w14:textId="77777777" w:rsidR="004B0287" w:rsidRPr="00613A3D" w:rsidRDefault="004B0287" w:rsidP="004B0287">
      <w:pPr>
        <w:pStyle w:val="ListParagraph"/>
        <w:rPr>
          <w:rStyle w:val="normaltextrun"/>
          <w:rFonts w:cs="Segoe UI"/>
          <w:sz w:val="20"/>
          <w:szCs w:val="20"/>
        </w:rPr>
      </w:pPr>
    </w:p>
    <w:p w14:paraId="75B57865" w14:textId="6A41C8F2" w:rsidR="004B0287" w:rsidRPr="00613A3D" w:rsidRDefault="004B0287" w:rsidP="00F70E8B">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613A3D">
        <w:rPr>
          <w:rFonts w:ascii="Cambria" w:hAnsi="Cambria" w:cs="Segoe UI"/>
          <w:sz w:val="20"/>
          <w:szCs w:val="20"/>
        </w:rPr>
        <w:t>In accordance with the agreement signed by the parties, by which they requested the Commission to approve the friendly settlement agreement envisaged in Article 49 of the American Convention, and taking into consideration the parties' request of October 31, 2022, to move forward in this way, it is appropriate at this time to assess compliance with the commitments set forth herein.</w:t>
      </w:r>
    </w:p>
    <w:p w14:paraId="4DD8BB91" w14:textId="77777777" w:rsidR="004B0287" w:rsidRPr="00613A3D" w:rsidRDefault="004B0287" w:rsidP="004B0287">
      <w:pPr>
        <w:pStyle w:val="ListParagraph"/>
        <w:rPr>
          <w:rFonts w:asciiTheme="majorHAnsi" w:hAnsiTheme="majorHAnsi"/>
          <w:sz w:val="20"/>
          <w:szCs w:val="20"/>
        </w:rPr>
      </w:pPr>
    </w:p>
    <w:p w14:paraId="0EA093B4" w14:textId="77777777" w:rsidR="004B0287" w:rsidRPr="00613A3D" w:rsidRDefault="004B0287" w:rsidP="00F70E8B">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613A3D">
        <w:rPr>
          <w:rFonts w:ascii="Cambria" w:eastAsiaTheme="minorHAnsi" w:hAnsi="Cambria" w:cs="Cambria"/>
          <w:color w:val="000000"/>
          <w:sz w:val="20"/>
          <w:szCs w:val="20"/>
        </w:rPr>
        <w:t>The Inter-American Commission considers that the clauses one (Definitions), two (Background), three (Beneficiaries) and four (Acknowledgement of Responsibility) of the Agreement are of a declarative nature, rendering supervision of their compliance unnecessary. In this regard, the Commission values the fourth declarative clause, in which the Colombian State acknowledges that it bears international responsibility for the violations of the rights recognized in Articles 8 (right to a fair trial) and 25 (right to judicial protection) of the American Convention, in relation to Article 1(1) (obligation to respect rights) of the same instrument, to the detriment of the relatives of Mr. Edwin Hernán Ciro, due to the lack of a diligent investigation of the events that occurred, which resulted in the failure to identify, prosecute, and punish those responsible for his murder.</w:t>
      </w:r>
    </w:p>
    <w:p w14:paraId="414F14B1" w14:textId="77777777" w:rsidR="004B0287" w:rsidRPr="00613A3D" w:rsidRDefault="004B0287" w:rsidP="004B0287">
      <w:pPr>
        <w:pStyle w:val="paragraph"/>
        <w:spacing w:before="0" w:beforeAutospacing="0" w:after="0" w:afterAutospacing="0"/>
        <w:jc w:val="both"/>
        <w:textAlignment w:val="baseline"/>
        <w:rPr>
          <w:rStyle w:val="normaltextrun"/>
          <w:rFonts w:ascii="Cambria" w:hAnsi="Cambria" w:cs="Segoe UI"/>
          <w:sz w:val="20"/>
          <w:szCs w:val="20"/>
        </w:rPr>
      </w:pPr>
    </w:p>
    <w:p w14:paraId="11D99BE7" w14:textId="1B2A1D3F" w:rsidR="004B0287" w:rsidRPr="00613A3D" w:rsidRDefault="004B0287" w:rsidP="00F70E8B">
      <w:pPr>
        <w:pStyle w:val="paragraph"/>
        <w:numPr>
          <w:ilvl w:val="0"/>
          <w:numId w:val="56"/>
        </w:numPr>
        <w:spacing w:before="0" w:beforeAutospacing="0" w:after="0" w:afterAutospacing="0"/>
        <w:ind w:left="0" w:firstLine="720"/>
        <w:jc w:val="both"/>
        <w:textAlignment w:val="baseline"/>
        <w:rPr>
          <w:rFonts w:ascii="Cambria" w:hAnsi="Cambria" w:cs="Segoe UI"/>
          <w:sz w:val="20"/>
          <w:szCs w:val="20"/>
        </w:rPr>
      </w:pPr>
      <w:r w:rsidRPr="00613A3D">
        <w:rPr>
          <w:rStyle w:val="normaltextrun"/>
          <w:rFonts w:ascii="Cambria" w:hAnsi="Cambria" w:cs="Segoe UI"/>
          <w:sz w:val="20"/>
          <w:szCs w:val="20"/>
        </w:rPr>
        <w:t xml:space="preserve">In relation to subparagraph </w:t>
      </w:r>
      <w:r w:rsidRPr="00613A3D">
        <w:rPr>
          <w:rStyle w:val="normaltextrun"/>
          <w:rFonts w:ascii="Cambria" w:hAnsi="Cambria" w:cs="Segoe UI"/>
          <w:i/>
          <w:iCs/>
          <w:sz w:val="20"/>
          <w:szCs w:val="20"/>
        </w:rPr>
        <w:t>(i)</w:t>
      </w:r>
      <w:r w:rsidRPr="00613A3D">
        <w:rPr>
          <w:rStyle w:val="normaltextrun"/>
          <w:rFonts w:ascii="Cambria" w:hAnsi="Cambria" w:cs="Segoe UI"/>
          <w:sz w:val="20"/>
          <w:szCs w:val="20"/>
        </w:rPr>
        <w:t xml:space="preserve">, </w:t>
      </w:r>
      <w:r w:rsidRPr="00613A3D">
        <w:rPr>
          <w:rStyle w:val="normaltextrun"/>
          <w:rFonts w:ascii="Cambria" w:hAnsi="Cambria" w:cs="Segoe UI"/>
          <w:i/>
          <w:iCs/>
          <w:sz w:val="20"/>
          <w:szCs w:val="20"/>
        </w:rPr>
        <w:t>Act of acknowledgment of responsibility,</w:t>
      </w:r>
      <w:r w:rsidRPr="00613A3D">
        <w:rPr>
          <w:rStyle w:val="normaltextrun"/>
          <w:rFonts w:ascii="Cambria" w:hAnsi="Cambria" w:cs="Segoe UI"/>
          <w:sz w:val="20"/>
          <w:szCs w:val="20"/>
        </w:rPr>
        <w:t xml:space="preserve"> of the clause five (Satisfaction measures), as jointly reported by the parties, after the signing of the FSA, the parties agreed that the act would be conducted in private, and they confirmed that </w:t>
      </w:r>
      <w:r w:rsidRPr="00613A3D">
        <w:rPr>
          <w:rFonts w:ascii="Cambria" w:eastAsiaTheme="minorHAnsi" w:hAnsi="Cambria" w:cs="Cambria"/>
          <w:color w:val="000000"/>
          <w:sz w:val="20"/>
          <w:szCs w:val="20"/>
        </w:rPr>
        <w:t>it was held on a virtual platform on September 27, 2022. The parties reported that there was permanent, fluid communication between the State and the petitioners, with whom it agreed on every detail for compliance with the measure, such as the date, time, agenda, and logistics required for the development of the space. In that regard, the parties provided a plain copy of the invitations circulated for said event, in which the victim's relatives and their representatives, the National Agency for the Legal Defense of the State, and the IACHR Commissioner and Rapporteur for Colombia, Joel Hernández García, took part.</w:t>
      </w:r>
    </w:p>
    <w:p w14:paraId="643E98F9" w14:textId="77777777" w:rsidR="004B0287" w:rsidRPr="00FF60B6" w:rsidRDefault="004B0287" w:rsidP="004B0287">
      <w:pPr>
        <w:pStyle w:val="paragraph"/>
        <w:spacing w:before="0" w:beforeAutospacing="0" w:after="0" w:afterAutospacing="0"/>
        <w:ind w:left="720"/>
        <w:jc w:val="both"/>
        <w:textAlignment w:val="baseline"/>
        <w:rPr>
          <w:rFonts w:ascii="Cambria" w:hAnsi="Cambria" w:cs="Segoe UI"/>
          <w:sz w:val="20"/>
          <w:szCs w:val="20"/>
          <w:highlight w:val="yellow"/>
        </w:rPr>
      </w:pPr>
    </w:p>
    <w:p w14:paraId="507F812A" w14:textId="382C9E3E" w:rsidR="004B0287" w:rsidRPr="00613A3D" w:rsidRDefault="004B0287" w:rsidP="00F70E8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60"/>
        <w:ind w:left="0" w:firstLine="709"/>
        <w:contextualSpacing/>
        <w:jc w:val="both"/>
        <w:rPr>
          <w:color w:val="000000" w:themeColor="text1"/>
          <w:sz w:val="20"/>
        </w:rPr>
      </w:pPr>
      <w:r w:rsidRPr="00613A3D">
        <w:rPr>
          <w:sz w:val="20"/>
          <w:szCs w:val="20"/>
        </w:rPr>
        <w:t xml:space="preserve">The parties also </w:t>
      </w:r>
      <w:r w:rsidRPr="00613A3D">
        <w:rPr>
          <w:color w:val="000000" w:themeColor="text1"/>
          <w:sz w:val="20"/>
        </w:rPr>
        <w:t>reported the content of the agenda agreed on for the private act of acknowledgment of responsibility, during which a video memorializing Mr. Edwin Hernán Ciro was shown and Mrs. Leticia María Ciro, sister of the victim, and Dr. Roberto Fernando Paz Salas, representative of the victims, delivered remarks. The ANDJE's Director of International Legal Defense spoke for the State. She apologized to the victims and their relatives for what had happened, and acknowledged the State's responsibility under the terms established in the friendly settlement agreement signed by the parties, stating the following:</w:t>
      </w:r>
    </w:p>
    <w:p w14:paraId="468B1A00" w14:textId="77777777" w:rsidR="004B0287" w:rsidRPr="00613A3D" w:rsidRDefault="004B0287" w:rsidP="004B0287">
      <w:pPr>
        <w:pStyle w:val="ListParagraph"/>
        <w:ind w:left="709"/>
        <w:jc w:val="both"/>
        <w:rPr>
          <w:color w:val="000000" w:themeColor="text1"/>
          <w:sz w:val="20"/>
        </w:rPr>
      </w:pPr>
    </w:p>
    <w:p w14:paraId="6171417F" w14:textId="77777777" w:rsidR="004B0287" w:rsidRPr="00613A3D" w:rsidRDefault="004B0287" w:rsidP="004B0287">
      <w:pPr>
        <w:tabs>
          <w:tab w:val="left" w:pos="1440"/>
        </w:tabs>
        <w:spacing w:after="160"/>
        <w:ind w:left="709" w:right="720"/>
        <w:jc w:val="both"/>
        <w:rPr>
          <w:rFonts w:asciiTheme="majorHAnsi" w:hAnsiTheme="majorHAnsi"/>
          <w:color w:val="000000" w:themeColor="text1"/>
          <w:sz w:val="20"/>
          <w:u w:color="000000"/>
        </w:rPr>
      </w:pPr>
      <w:r w:rsidRPr="00613A3D">
        <w:rPr>
          <w:rFonts w:asciiTheme="majorHAnsi" w:hAnsiTheme="majorHAnsi"/>
          <w:color w:val="000000" w:themeColor="text1"/>
          <w:sz w:val="20"/>
          <w:u w:color="000000"/>
        </w:rPr>
        <w:t>[…]</w:t>
      </w:r>
    </w:p>
    <w:p w14:paraId="50EA9AA0" w14:textId="77777777" w:rsidR="004B0287" w:rsidRPr="00613A3D" w:rsidRDefault="004B0287" w:rsidP="004B0287">
      <w:pPr>
        <w:tabs>
          <w:tab w:val="left" w:pos="1440"/>
        </w:tabs>
        <w:ind w:left="720" w:right="720"/>
        <w:jc w:val="both"/>
        <w:rPr>
          <w:rFonts w:ascii="Cambria" w:hAnsi="Cambria"/>
          <w:color w:val="000000" w:themeColor="text1"/>
          <w:sz w:val="20"/>
          <w:u w:color="000000"/>
        </w:rPr>
      </w:pPr>
      <w:r w:rsidRPr="00613A3D">
        <w:rPr>
          <w:rFonts w:ascii="Cambria" w:hAnsi="Cambria"/>
          <w:color w:val="000000" w:themeColor="text1"/>
          <w:sz w:val="20"/>
          <w:u w:color="000000"/>
        </w:rPr>
        <w:t xml:space="preserve">The Colombian State recognizes that the right of access to justice is indispensable for the material realization of fundamental rights, and implies that all persons, without distinction, have the concrete possibility of procuring the redress of their rights through the means provided by the administration of justice, which, </w:t>
      </w:r>
      <w:r w:rsidRPr="00613A3D">
        <w:rPr>
          <w:rFonts w:ascii="Cambria" w:hAnsi="Cambria"/>
          <w:i/>
          <w:iCs/>
          <w:color w:val="000000" w:themeColor="text1"/>
          <w:sz w:val="20"/>
          <w:u w:color="000000"/>
        </w:rPr>
        <w:t>inter alia</w:t>
      </w:r>
      <w:r w:rsidRPr="00613A3D">
        <w:rPr>
          <w:rFonts w:ascii="Cambria" w:hAnsi="Cambria"/>
          <w:color w:val="000000" w:themeColor="text1"/>
          <w:sz w:val="20"/>
          <w:u w:color="000000"/>
        </w:rPr>
        <w:t>, must be adequate, timely, and effective. The proper administration of justice entails, among other things, that victims whose rights have been violated receive comprehensive reparation by a variety of means aimed at restoring people’s dignity, including the right to justice, truth, and non-repetition.</w:t>
      </w:r>
    </w:p>
    <w:p w14:paraId="533ABEC5" w14:textId="77777777" w:rsidR="004B0287" w:rsidRPr="00FF60B6" w:rsidRDefault="004B0287" w:rsidP="004B0287">
      <w:pPr>
        <w:tabs>
          <w:tab w:val="left" w:pos="1440"/>
        </w:tabs>
        <w:ind w:left="720" w:right="720"/>
        <w:jc w:val="both"/>
        <w:rPr>
          <w:rFonts w:ascii="Cambria" w:hAnsi="Cambria"/>
          <w:color w:val="000000" w:themeColor="text1"/>
          <w:sz w:val="20"/>
          <w:highlight w:val="yellow"/>
          <w:u w:color="000000"/>
        </w:rPr>
      </w:pPr>
    </w:p>
    <w:p w14:paraId="0FB572D2" w14:textId="77777777" w:rsidR="004B0287" w:rsidRPr="009E661B" w:rsidRDefault="004B0287" w:rsidP="004B0287">
      <w:pPr>
        <w:tabs>
          <w:tab w:val="left" w:pos="1440"/>
        </w:tabs>
        <w:ind w:left="720" w:right="720"/>
        <w:jc w:val="both"/>
        <w:rPr>
          <w:rFonts w:ascii="Cambria" w:hAnsi="Cambria"/>
          <w:color w:val="000000" w:themeColor="text1"/>
          <w:sz w:val="20"/>
          <w:u w:color="000000"/>
        </w:rPr>
      </w:pPr>
      <w:r w:rsidRPr="009E661B">
        <w:rPr>
          <w:rFonts w:ascii="Cambria" w:hAnsi="Cambria"/>
          <w:color w:val="000000" w:themeColor="text1"/>
          <w:sz w:val="20"/>
          <w:u w:color="000000"/>
        </w:rPr>
        <w:t>The Colombian State had the obligation to investigate, prosecute and punish those responsible for the murder of Mr. Edwin Hernán Ciro within a reasonable time and, though the authorities initiated a criminal investigation into the murder of Mr. Ciro, that was precluded by the impossibility of individually identifying those responsible for this deplorable deed, thus perpetuating the situation of impunity.</w:t>
      </w:r>
    </w:p>
    <w:p w14:paraId="3F02A14E" w14:textId="77777777" w:rsidR="004B0287" w:rsidRPr="009E661B" w:rsidRDefault="004B0287" w:rsidP="004B0287">
      <w:pPr>
        <w:tabs>
          <w:tab w:val="left" w:pos="1440"/>
        </w:tabs>
        <w:ind w:left="720" w:right="720"/>
        <w:jc w:val="both"/>
        <w:rPr>
          <w:rFonts w:ascii="Cambria" w:hAnsi="Cambria"/>
          <w:color w:val="000000" w:themeColor="text1"/>
          <w:sz w:val="20"/>
          <w:u w:color="000000"/>
        </w:rPr>
      </w:pPr>
    </w:p>
    <w:p w14:paraId="62F2FDF5" w14:textId="77777777" w:rsidR="004B0287" w:rsidRPr="009E661B" w:rsidRDefault="004B0287" w:rsidP="004B0287">
      <w:pPr>
        <w:tabs>
          <w:tab w:val="left" w:pos="1440"/>
        </w:tabs>
        <w:ind w:left="720" w:right="720"/>
        <w:jc w:val="both"/>
        <w:rPr>
          <w:rFonts w:ascii="Cambria" w:hAnsi="Cambria"/>
          <w:color w:val="000000" w:themeColor="text1"/>
          <w:sz w:val="20"/>
          <w:u w:color="000000"/>
        </w:rPr>
      </w:pPr>
      <w:r w:rsidRPr="009E661B">
        <w:rPr>
          <w:rFonts w:ascii="Cambria" w:hAnsi="Cambria"/>
          <w:color w:val="000000" w:themeColor="text1"/>
          <w:sz w:val="20"/>
          <w:u w:color="000000"/>
        </w:rPr>
        <w:t>The Colombian State condemns and rejects the events surrounding the murder of Mr. Edwin Hernán Ciro, as well as the lack of diligence in identifying, prosecuting and punishing its perpetrators, which has hindered the right of his relatives to effective reparation and to move forward with their process of forgiveness. I know that this long search for truth and justice has been extremely painful.</w:t>
      </w:r>
    </w:p>
    <w:p w14:paraId="1F058AEE" w14:textId="77777777" w:rsidR="004B0287" w:rsidRPr="009E661B" w:rsidRDefault="004B0287" w:rsidP="004B0287">
      <w:pPr>
        <w:tabs>
          <w:tab w:val="left" w:pos="1440"/>
        </w:tabs>
        <w:ind w:right="720"/>
        <w:jc w:val="both"/>
        <w:rPr>
          <w:rFonts w:ascii="Cambria" w:hAnsi="Cambria"/>
          <w:color w:val="000000" w:themeColor="text1"/>
          <w:sz w:val="20"/>
          <w:u w:color="000000"/>
        </w:rPr>
      </w:pPr>
    </w:p>
    <w:p w14:paraId="32AF87A8" w14:textId="77777777" w:rsidR="004B0287" w:rsidRPr="009E661B" w:rsidRDefault="004B0287" w:rsidP="004B0287">
      <w:pPr>
        <w:tabs>
          <w:tab w:val="left" w:pos="1440"/>
        </w:tabs>
        <w:ind w:left="720" w:right="720"/>
        <w:jc w:val="both"/>
        <w:rPr>
          <w:rFonts w:ascii="Cambria" w:hAnsi="Cambria"/>
          <w:color w:val="000000" w:themeColor="text1"/>
          <w:sz w:val="20"/>
          <w:u w:color="000000"/>
        </w:rPr>
      </w:pPr>
      <w:r w:rsidRPr="009E661B">
        <w:rPr>
          <w:rFonts w:ascii="Cambria" w:hAnsi="Cambria"/>
          <w:color w:val="000000" w:themeColor="text1"/>
          <w:sz w:val="20"/>
          <w:u w:color="000000"/>
        </w:rPr>
        <w:t>Based on the foregoing, on behalf of the State of Colombia and as Director General of the National Agency for the Legal Defense of the State, I acknowledge international responsibility by omission for the violation of the rights to a fair trial and judicial protection recognized in Articles 8 and 25 of the American Convention on Human Rights, in relation to the general obligation to respect and ensure rights set out in said instrument, to the detriment of the relatives of Edwin Hernán Ciro. [...].</w:t>
      </w:r>
    </w:p>
    <w:p w14:paraId="12F3FE8B" w14:textId="77777777" w:rsidR="004B0287" w:rsidRPr="00FF60B6" w:rsidRDefault="004B0287" w:rsidP="004B0287">
      <w:pPr>
        <w:tabs>
          <w:tab w:val="left" w:pos="1440"/>
        </w:tabs>
        <w:ind w:right="720"/>
        <w:jc w:val="both"/>
        <w:rPr>
          <w:rFonts w:asciiTheme="majorHAnsi" w:hAnsiTheme="majorHAnsi"/>
          <w:color w:val="000000" w:themeColor="text1"/>
          <w:sz w:val="20"/>
          <w:highlight w:val="yellow"/>
          <w:u w:color="000000"/>
        </w:rPr>
      </w:pPr>
    </w:p>
    <w:p w14:paraId="3578CB0D" w14:textId="77777777" w:rsidR="004B0287" w:rsidRPr="009E661B" w:rsidRDefault="004B0287" w:rsidP="00F70E8B">
      <w:pPr>
        <w:pStyle w:val="paragraph"/>
        <w:numPr>
          <w:ilvl w:val="0"/>
          <w:numId w:val="56"/>
        </w:numPr>
        <w:spacing w:before="0" w:beforeAutospacing="0" w:after="0" w:afterAutospacing="0"/>
        <w:ind w:left="0" w:firstLine="709"/>
        <w:jc w:val="both"/>
        <w:textAlignment w:val="baseline"/>
        <w:rPr>
          <w:rFonts w:ascii="Cambria" w:eastAsiaTheme="minorHAnsi" w:hAnsi="Cambria" w:cs="Cambria"/>
          <w:color w:val="000000"/>
          <w:sz w:val="20"/>
          <w:szCs w:val="20"/>
        </w:rPr>
      </w:pPr>
      <w:r w:rsidRPr="009E661B">
        <w:rPr>
          <w:rFonts w:ascii="Cambria" w:eastAsiaTheme="minorHAnsi" w:hAnsi="Cambria" w:cs="Cambria"/>
          <w:color w:val="000000"/>
          <w:sz w:val="20"/>
          <w:szCs w:val="20"/>
        </w:rPr>
        <w:t>For his part, Commissioner Joel Hernández, IACHR Rapporteur for Colombia, stated the following:</w:t>
      </w:r>
    </w:p>
    <w:p w14:paraId="7612802B" w14:textId="77777777" w:rsidR="004B0287" w:rsidRPr="009E661B" w:rsidRDefault="004B0287" w:rsidP="004B0287">
      <w:pPr>
        <w:pStyle w:val="paragraph"/>
        <w:spacing w:before="0" w:beforeAutospacing="0" w:after="0" w:afterAutospacing="0"/>
        <w:ind w:left="709"/>
        <w:jc w:val="both"/>
        <w:textAlignment w:val="baseline"/>
        <w:rPr>
          <w:rFonts w:ascii="Cambria" w:eastAsiaTheme="minorHAnsi" w:hAnsi="Cambria" w:cs="Cambria"/>
          <w:color w:val="000000"/>
          <w:sz w:val="20"/>
          <w:szCs w:val="20"/>
        </w:rPr>
      </w:pPr>
    </w:p>
    <w:p w14:paraId="3ECBF8A4" w14:textId="77777777" w:rsidR="004B0287" w:rsidRPr="009E661B" w:rsidRDefault="004B0287" w:rsidP="004B0287">
      <w:pPr>
        <w:tabs>
          <w:tab w:val="left" w:pos="1440"/>
        </w:tabs>
        <w:ind w:left="709" w:right="720"/>
        <w:jc w:val="both"/>
        <w:rPr>
          <w:rFonts w:asciiTheme="majorHAnsi" w:hAnsiTheme="majorHAnsi"/>
          <w:color w:val="000000" w:themeColor="text1"/>
          <w:sz w:val="20"/>
          <w:u w:color="000000"/>
        </w:rPr>
      </w:pPr>
      <w:r w:rsidRPr="009E661B">
        <w:rPr>
          <w:rFonts w:asciiTheme="majorHAnsi" w:hAnsiTheme="majorHAnsi"/>
          <w:color w:val="000000" w:themeColor="text1"/>
          <w:sz w:val="20"/>
          <w:u w:color="000000"/>
        </w:rPr>
        <w:t>[…]</w:t>
      </w:r>
    </w:p>
    <w:p w14:paraId="320E91B5" w14:textId="77777777" w:rsidR="004B0287" w:rsidRPr="009E661B" w:rsidRDefault="004B0287" w:rsidP="004B0287">
      <w:pPr>
        <w:pStyle w:val="paragraph"/>
        <w:spacing w:before="0" w:beforeAutospacing="0" w:after="0" w:afterAutospacing="0"/>
        <w:ind w:left="709"/>
        <w:jc w:val="both"/>
        <w:textAlignment w:val="baseline"/>
        <w:rPr>
          <w:rFonts w:ascii="Cambria" w:eastAsiaTheme="minorHAnsi" w:hAnsi="Cambria" w:cs="Cambria"/>
          <w:color w:val="000000"/>
          <w:sz w:val="20"/>
          <w:szCs w:val="20"/>
        </w:rPr>
      </w:pPr>
    </w:p>
    <w:p w14:paraId="73F89655" w14:textId="77777777" w:rsidR="004B0287" w:rsidRPr="009E661B" w:rsidRDefault="004B0287" w:rsidP="004B0287">
      <w:pPr>
        <w:pStyle w:val="paragraph"/>
        <w:spacing w:before="0" w:beforeAutospacing="0" w:after="0" w:afterAutospacing="0"/>
        <w:ind w:left="709" w:right="713"/>
        <w:jc w:val="both"/>
        <w:textAlignment w:val="baseline"/>
        <w:rPr>
          <w:rFonts w:ascii="Cambria" w:eastAsiaTheme="minorHAnsi" w:hAnsi="Cambria" w:cs="Cambria"/>
          <w:color w:val="000000"/>
          <w:sz w:val="20"/>
          <w:szCs w:val="20"/>
        </w:rPr>
      </w:pPr>
      <w:r w:rsidRPr="009E661B">
        <w:rPr>
          <w:rFonts w:ascii="Cambria" w:eastAsiaTheme="minorHAnsi" w:hAnsi="Cambria" w:cs="Cambria"/>
          <w:color w:val="000000"/>
          <w:sz w:val="20"/>
          <w:szCs w:val="20"/>
        </w:rPr>
        <w:t>The Commission appreciates the acknowledgment of international responsibility made on this occasion by the Colombian State for the failure to investigate and punish those responsible for the murder of Mr. Edwin Hernán Ciro on August 27, 1999, in the municipality of San Rafael, department of Antioquia. Today, through these photographs and this music, we remember his life, we celebrate the mark he left on his family, from whom we have heard today through his sister Leticia. We recognize the pain that all these years of waiting and searching for the truth have brought you. We appreciate the opportunity to be part of the history that is written of your lives from this day forward, as we look to advance in the implementation of the friendly settlement concluded by the parties on July 26, 2022.</w:t>
      </w:r>
    </w:p>
    <w:p w14:paraId="22AC22F5" w14:textId="77777777" w:rsidR="004B0287" w:rsidRPr="009E661B" w:rsidRDefault="004B0287" w:rsidP="004B0287">
      <w:pPr>
        <w:pStyle w:val="paragraph"/>
        <w:spacing w:before="0" w:beforeAutospacing="0" w:after="0" w:afterAutospacing="0"/>
        <w:ind w:left="709" w:right="713"/>
        <w:jc w:val="both"/>
        <w:textAlignment w:val="baseline"/>
        <w:rPr>
          <w:rFonts w:ascii="Cambria" w:eastAsiaTheme="minorHAnsi" w:hAnsi="Cambria" w:cs="Cambria"/>
          <w:color w:val="000000"/>
          <w:sz w:val="20"/>
          <w:szCs w:val="20"/>
        </w:rPr>
      </w:pPr>
    </w:p>
    <w:p w14:paraId="40C5D005" w14:textId="335A619C" w:rsidR="004B0287" w:rsidRPr="009E661B" w:rsidRDefault="004B0287" w:rsidP="004B0287">
      <w:pPr>
        <w:pStyle w:val="paragraph"/>
        <w:spacing w:before="0" w:beforeAutospacing="0" w:after="0" w:afterAutospacing="0"/>
        <w:ind w:left="709" w:right="713"/>
        <w:jc w:val="both"/>
        <w:rPr>
          <w:rFonts w:ascii="Cambria" w:hAnsi="Cambria" w:cs="Cambria"/>
          <w:color w:val="000000"/>
          <w:sz w:val="20"/>
          <w:szCs w:val="20"/>
        </w:rPr>
      </w:pPr>
      <w:r w:rsidRPr="009E661B">
        <w:rPr>
          <w:rFonts w:ascii="Cambria" w:hAnsi="Cambria" w:cs="Cambria"/>
          <w:color w:val="000000"/>
          <w:sz w:val="20"/>
          <w:szCs w:val="20"/>
        </w:rPr>
        <w:t>I am convinced that the importance of acts of acknowledgment of responsibility lies in the extent to which they honor the truth. In other words, when a State accepts its responsibility in such acts, it acknowledges the truth of what happened, takes a candid looks at itself, identifies its shortcomings, and reflects on how to prevent such acts from happening again. This self-reflection is what facilitates reconciliation and reconstruction of the social fabric. The inter-American human rights system, through its system of individual petitions and cases, provides the opportunity for States to identify structural failures in the protection of the rights of their inhabitants. In that sense, I applaud that the Colombian State</w:t>
      </w:r>
      <w:r w:rsidR="002A4FCB">
        <w:rPr>
          <w:rFonts w:ascii="Cambria" w:hAnsi="Cambria" w:cs="Cambria"/>
          <w:color w:val="000000"/>
          <w:sz w:val="20"/>
          <w:szCs w:val="20"/>
        </w:rPr>
        <w:t xml:space="preserve">, from </w:t>
      </w:r>
      <w:r w:rsidRPr="009E661B">
        <w:rPr>
          <w:rFonts w:ascii="Cambria" w:hAnsi="Cambria" w:cs="Cambria"/>
          <w:color w:val="000000"/>
          <w:sz w:val="20"/>
          <w:szCs w:val="20"/>
        </w:rPr>
        <w:t>its institutions recogniz</w:t>
      </w:r>
      <w:r w:rsidR="002A4FCB">
        <w:rPr>
          <w:rFonts w:ascii="Cambria" w:hAnsi="Cambria" w:cs="Cambria"/>
          <w:color w:val="000000"/>
          <w:sz w:val="20"/>
          <w:szCs w:val="20"/>
        </w:rPr>
        <w:t>es</w:t>
      </w:r>
      <w:r w:rsidRPr="009E661B">
        <w:rPr>
          <w:rFonts w:ascii="Cambria" w:hAnsi="Cambria" w:cs="Cambria"/>
          <w:color w:val="000000"/>
          <w:sz w:val="20"/>
          <w:szCs w:val="20"/>
        </w:rPr>
        <w:t xml:space="preserve"> the failure in this case to protect the right of Edwin's relatives to justice in a timely manner, and that it is from that recognition that Edwin's relatives are afforded the opportunity to restore their trust in the institutions of the Colombian State. [...].</w:t>
      </w:r>
    </w:p>
    <w:p w14:paraId="7FCA2070" w14:textId="77777777" w:rsidR="004B0287" w:rsidRPr="00FF60B6" w:rsidRDefault="004B0287" w:rsidP="004B0287">
      <w:pPr>
        <w:pStyle w:val="paragraph"/>
        <w:spacing w:before="0" w:beforeAutospacing="0" w:after="0" w:afterAutospacing="0"/>
        <w:ind w:left="709" w:right="713"/>
        <w:jc w:val="both"/>
        <w:rPr>
          <w:rFonts w:ascii="Cambria" w:hAnsi="Cambria" w:cs="Cambria"/>
          <w:color w:val="000000"/>
          <w:sz w:val="20"/>
          <w:szCs w:val="20"/>
          <w:highlight w:val="yellow"/>
        </w:rPr>
      </w:pPr>
    </w:p>
    <w:p w14:paraId="084B539D" w14:textId="77777777" w:rsidR="004B0287" w:rsidRPr="002A4FCB" w:rsidRDefault="004B0287" w:rsidP="004B0287">
      <w:pPr>
        <w:tabs>
          <w:tab w:val="left" w:pos="1440"/>
        </w:tabs>
        <w:ind w:left="709" w:right="720"/>
        <w:jc w:val="both"/>
        <w:rPr>
          <w:rFonts w:ascii="Cambria" w:hAnsi="Cambria" w:cs="Cambria"/>
          <w:color w:val="000000"/>
          <w:sz w:val="20"/>
          <w:szCs w:val="20"/>
        </w:rPr>
      </w:pPr>
      <w:r w:rsidRPr="002A4FCB">
        <w:rPr>
          <w:rFonts w:ascii="Cambria" w:hAnsi="Cambria"/>
          <w:color w:val="000000"/>
          <w:sz w:val="20"/>
          <w:szCs w:val="20"/>
        </w:rPr>
        <w:t xml:space="preserve">The Commission is aware that there is still a long way to go before full compliance is achieved with the measures contained in the agreement, in terms of financial compensation and the installation of working groups to obtain information on access to housing programs. Therefore, I urge the Colombian State to continue making every effort to comply with the commitments adopted with regard to reparations, thus strengthening the development of a fertile environment for the promotion and protection of human rights in Colombia. </w:t>
      </w:r>
      <w:r w:rsidRPr="002A4FCB">
        <w:rPr>
          <w:rFonts w:asciiTheme="majorHAnsi" w:hAnsiTheme="majorHAnsi"/>
          <w:color w:val="000000" w:themeColor="text1"/>
          <w:sz w:val="20"/>
          <w:u w:color="000000"/>
        </w:rPr>
        <w:t>[...].</w:t>
      </w:r>
    </w:p>
    <w:p w14:paraId="4CD3694E" w14:textId="77777777" w:rsidR="004B0287" w:rsidRPr="00FF60B6" w:rsidRDefault="004B0287" w:rsidP="004B0287">
      <w:pPr>
        <w:tabs>
          <w:tab w:val="left" w:pos="1440"/>
        </w:tabs>
        <w:ind w:left="709" w:right="720"/>
        <w:jc w:val="both"/>
        <w:rPr>
          <w:rFonts w:asciiTheme="majorHAnsi" w:hAnsiTheme="majorHAnsi"/>
          <w:color w:val="000000" w:themeColor="text1"/>
          <w:sz w:val="20"/>
          <w:highlight w:val="yellow"/>
          <w:u w:color="000000"/>
        </w:rPr>
      </w:pPr>
    </w:p>
    <w:p w14:paraId="657BA2CF" w14:textId="77777777" w:rsidR="004B0287" w:rsidRPr="002A4FCB" w:rsidRDefault="004B0287" w:rsidP="00F70E8B">
      <w:pPr>
        <w:pStyle w:val="paragraph"/>
        <w:numPr>
          <w:ilvl w:val="0"/>
          <w:numId w:val="56"/>
        </w:numPr>
        <w:spacing w:before="0" w:beforeAutospacing="0" w:after="0" w:afterAutospacing="0"/>
        <w:ind w:left="0" w:firstLine="709"/>
        <w:jc w:val="both"/>
        <w:textAlignment w:val="baseline"/>
        <w:rPr>
          <w:rFonts w:ascii="Cambria" w:eastAsiaTheme="minorHAnsi" w:hAnsi="Cambria" w:cs="Cambria"/>
          <w:color w:val="000000"/>
          <w:sz w:val="20"/>
          <w:szCs w:val="20"/>
        </w:rPr>
      </w:pPr>
      <w:r w:rsidRPr="002A4FCB">
        <w:rPr>
          <w:rFonts w:ascii="Cambria" w:eastAsiaTheme="minorHAnsi" w:hAnsi="Cambria" w:cs="Cambria"/>
          <w:color w:val="000000"/>
          <w:sz w:val="20"/>
          <w:szCs w:val="20"/>
        </w:rPr>
        <w:t>Taking into account the above and the information provided jointly by the parties, the Commission considers that subparagraph (</w:t>
      </w:r>
      <w:r w:rsidRPr="002A4FCB">
        <w:rPr>
          <w:rFonts w:ascii="Cambria" w:eastAsiaTheme="minorHAnsi" w:hAnsi="Cambria" w:cs="Cambria"/>
          <w:i/>
          <w:iCs/>
          <w:color w:val="000000"/>
          <w:sz w:val="20"/>
          <w:szCs w:val="20"/>
        </w:rPr>
        <w:t>i)</w:t>
      </w:r>
      <w:r w:rsidRPr="002A4FCB">
        <w:rPr>
          <w:rFonts w:ascii="Cambria" w:eastAsiaTheme="minorHAnsi" w:hAnsi="Cambria" w:cs="Cambria"/>
          <w:color w:val="000000"/>
          <w:sz w:val="20"/>
          <w:szCs w:val="20"/>
        </w:rPr>
        <w:t xml:space="preserve"> of clause five of the friendly settlement agreement related to the act of acknowledgment of responsibility has been fully complied with, and so it declares.</w:t>
      </w:r>
    </w:p>
    <w:p w14:paraId="5321D85B" w14:textId="77777777" w:rsidR="004B0287" w:rsidRPr="002A4FCB" w:rsidRDefault="004B0287" w:rsidP="004B0287">
      <w:pPr>
        <w:pStyle w:val="paragraph"/>
        <w:spacing w:before="0" w:beforeAutospacing="0" w:after="0" w:afterAutospacing="0"/>
        <w:ind w:left="709"/>
        <w:jc w:val="both"/>
        <w:textAlignment w:val="baseline"/>
        <w:rPr>
          <w:rFonts w:ascii="Cambria" w:eastAsiaTheme="minorHAnsi" w:hAnsi="Cambria" w:cs="Cambria"/>
          <w:color w:val="000000"/>
          <w:sz w:val="20"/>
          <w:szCs w:val="20"/>
        </w:rPr>
      </w:pPr>
    </w:p>
    <w:p w14:paraId="5476103F" w14:textId="14139825" w:rsidR="004B0287" w:rsidRPr="002A4FCB" w:rsidRDefault="004B0287" w:rsidP="00F70E8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contextualSpacing/>
        <w:jc w:val="both"/>
        <w:rPr>
          <w:color w:val="000000" w:themeColor="text1"/>
          <w:sz w:val="20"/>
        </w:rPr>
      </w:pPr>
      <w:r w:rsidRPr="002A4FCB">
        <w:rPr>
          <w:color w:val="000000" w:themeColor="text1"/>
          <w:sz w:val="20"/>
        </w:rPr>
        <w:t xml:space="preserve">In relation to subparagraph </w:t>
      </w:r>
      <w:r w:rsidRPr="002A4FCB">
        <w:rPr>
          <w:i/>
          <w:iCs/>
          <w:color w:val="000000" w:themeColor="text1"/>
          <w:sz w:val="20"/>
        </w:rPr>
        <w:t>(ii), Working group meetings with the Ministry of Housing, Urban, and Territorial Affairs,</w:t>
      </w:r>
      <w:r w:rsidRPr="002A4FCB">
        <w:rPr>
          <w:color w:val="000000" w:themeColor="text1"/>
          <w:sz w:val="20"/>
        </w:rPr>
        <w:t xml:space="preserve"> of clause five (Satisfaction measures) and clause six (Compensation measures) of the friendly settlement agreement, and bearing in mind the joint request of the parties to proceed with the approval of the agreement prior to its implementation, the Commission observes that those measures must be complied with after the publication of this report. Therefore, it considers that they are pending compliance, and so it declares</w:t>
      </w:r>
      <w:r w:rsidR="002A4FCB">
        <w:rPr>
          <w:color w:val="000000" w:themeColor="text1"/>
          <w:sz w:val="20"/>
        </w:rPr>
        <w:t xml:space="preserve"> it as such</w:t>
      </w:r>
      <w:r w:rsidRPr="002A4FCB">
        <w:rPr>
          <w:color w:val="000000" w:themeColor="text1"/>
          <w:sz w:val="20"/>
        </w:rPr>
        <w:t xml:space="preserve">. By virtue of the foregoing, the Commission will expect updated information from the parties on its implementation subsequent to the approval of this report. </w:t>
      </w:r>
    </w:p>
    <w:p w14:paraId="505A1E06" w14:textId="77777777" w:rsidR="004B0287" w:rsidRPr="00FF60B6" w:rsidRDefault="004B0287" w:rsidP="004B0287">
      <w:pPr>
        <w:tabs>
          <w:tab w:val="left" w:pos="1440"/>
        </w:tabs>
        <w:jc w:val="both"/>
        <w:rPr>
          <w:rFonts w:ascii="Cambria" w:hAnsi="Cambria"/>
          <w:color w:val="000000" w:themeColor="text1"/>
          <w:sz w:val="20"/>
          <w:highlight w:val="yellow"/>
        </w:rPr>
      </w:pPr>
    </w:p>
    <w:p w14:paraId="2C3E9D8E" w14:textId="3ECB9E13" w:rsidR="004B0287" w:rsidRPr="002A4FCB" w:rsidRDefault="004B0287" w:rsidP="00F70E8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eastAsia="Arial Unicode MS" w:cs="Segoe UI"/>
          <w:sz w:val="20"/>
          <w:szCs w:val="20"/>
        </w:rPr>
      </w:pPr>
      <w:r w:rsidRPr="002A4FCB">
        <w:rPr>
          <w:color w:val="000000" w:themeColor="text1"/>
          <w:sz w:val="20"/>
        </w:rPr>
        <w:t xml:space="preserve">In view of the foregoing, the Commission concludes that subparagraph (i), </w:t>
      </w:r>
      <w:r w:rsidRPr="002A4FCB">
        <w:rPr>
          <w:i/>
          <w:iCs/>
          <w:color w:val="000000" w:themeColor="text1"/>
          <w:sz w:val="20"/>
        </w:rPr>
        <w:t>Act of acknowledgment of responsibility,</w:t>
      </w:r>
      <w:r w:rsidRPr="002A4FCB">
        <w:rPr>
          <w:color w:val="000000" w:themeColor="text1"/>
          <w:sz w:val="20"/>
        </w:rPr>
        <w:t xml:space="preserve"> of clause five has been fully complied with, and so it declares</w:t>
      </w:r>
      <w:r w:rsidR="002A4FCB">
        <w:rPr>
          <w:color w:val="000000" w:themeColor="text1"/>
          <w:sz w:val="20"/>
        </w:rPr>
        <w:t xml:space="preserve"> it as such</w:t>
      </w:r>
      <w:r w:rsidRPr="002A4FCB">
        <w:rPr>
          <w:color w:val="000000" w:themeColor="text1"/>
          <w:sz w:val="20"/>
        </w:rPr>
        <w:t xml:space="preserve">. The Commission considers that subparagraph </w:t>
      </w:r>
      <w:r w:rsidRPr="002A4FCB">
        <w:rPr>
          <w:i/>
          <w:iCs/>
          <w:color w:val="000000" w:themeColor="text1"/>
          <w:sz w:val="20"/>
        </w:rPr>
        <w:t>(ii), Working group meetings with the Ministry of Housing, Urban, and Territorial Affairs,</w:t>
      </w:r>
      <w:r w:rsidRPr="002A4FCB">
        <w:rPr>
          <w:color w:val="000000" w:themeColor="text1"/>
          <w:sz w:val="20"/>
        </w:rPr>
        <w:t xml:space="preserve"> of clause five and clause six (Compensation measures) are pending compliance. Consequently, the Commission considers that the level of compliance with the friendly settlement agreement is partial, and so it declares</w:t>
      </w:r>
      <w:r w:rsidR="002A4FCB">
        <w:rPr>
          <w:color w:val="000000" w:themeColor="text1"/>
          <w:sz w:val="20"/>
        </w:rPr>
        <w:t xml:space="preserve"> it as such</w:t>
      </w:r>
      <w:r w:rsidRPr="002A4FCB">
        <w:rPr>
          <w:color w:val="000000" w:themeColor="text1"/>
          <w:sz w:val="20"/>
        </w:rPr>
        <w:t>. Finally, the Commission reiterates that the rest of the content of the agreement is of a declarative nature, rendering supervision by the IACHR of their compliance unnecessary.</w:t>
      </w:r>
    </w:p>
    <w:p w14:paraId="0D991B79" w14:textId="77777777" w:rsidR="002A65AC" w:rsidRPr="004B0287" w:rsidRDefault="002A65AC" w:rsidP="0026427B">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rPr>
      </w:pPr>
    </w:p>
    <w:p w14:paraId="45BF9A51" w14:textId="77777777" w:rsidR="00FA675D" w:rsidRDefault="00FA675D" w:rsidP="00F70E8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Pr>
          <w:rFonts w:eastAsia="Times New Roman" w:cstheme="minorHAnsi"/>
          <w:b/>
          <w:bCs/>
          <w:color w:val="000000" w:themeColor="text1"/>
          <w:sz w:val="20"/>
          <w:szCs w:val="20"/>
        </w:rPr>
        <w:t>CONCLUSIONS</w:t>
      </w:r>
    </w:p>
    <w:p w14:paraId="628FF974" w14:textId="77777777" w:rsidR="00DA37B6" w:rsidRDefault="00DA37B6" w:rsidP="0026427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43A418F" w14:textId="5EE551B5" w:rsidR="000D21F8" w:rsidRPr="00DD5436" w:rsidRDefault="000D21F8" w:rsidP="00F70E8B">
      <w:pPr>
        <w:pStyle w:val="ListParagraph"/>
        <w:numPr>
          <w:ilvl w:val="0"/>
          <w:numId w:val="60"/>
        </w:numPr>
        <w:tabs>
          <w:tab w:val="left" w:pos="720"/>
        </w:tabs>
        <w:ind w:left="0" w:firstLine="709"/>
        <w:jc w:val="both"/>
        <w:rPr>
          <w:rFonts w:eastAsia="MS Mincho"/>
          <w:sz w:val="20"/>
          <w:szCs w:val="20"/>
        </w:rPr>
      </w:pPr>
      <w:r>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09F1DA01" w14:textId="77777777" w:rsidR="000D21F8" w:rsidRDefault="000D21F8" w:rsidP="00000C1D">
      <w:pPr>
        <w:tabs>
          <w:tab w:val="left" w:pos="720"/>
          <w:tab w:val="left" w:pos="1440"/>
        </w:tabs>
        <w:ind w:firstLine="709"/>
        <w:jc w:val="both"/>
        <w:rPr>
          <w:rFonts w:ascii="Cambria" w:eastAsia="MS Mincho" w:hAnsi="Cambria" w:cs="Cambria"/>
          <w:sz w:val="20"/>
          <w:szCs w:val="20"/>
        </w:rPr>
      </w:pPr>
    </w:p>
    <w:p w14:paraId="1E44FDAE" w14:textId="77777777" w:rsidR="000D21F8" w:rsidRDefault="000D21F8" w:rsidP="00000C1D">
      <w:pPr>
        <w:tabs>
          <w:tab w:val="left" w:pos="720"/>
        </w:tabs>
        <w:ind w:firstLine="709"/>
        <w:jc w:val="both"/>
        <w:rPr>
          <w:rFonts w:ascii="Cambria" w:eastAsia="MS Mincho" w:hAnsi="Cambria" w:cs="Cambria"/>
          <w:sz w:val="20"/>
          <w:szCs w:val="20"/>
        </w:rPr>
      </w:pPr>
      <w:r>
        <w:rPr>
          <w:rFonts w:ascii="Cambria" w:hAnsi="Cambria"/>
          <w:sz w:val="20"/>
          <w:szCs w:val="20"/>
        </w:rPr>
        <w:t xml:space="preserve">2. </w:t>
      </w:r>
      <w:r>
        <w:rPr>
          <w:rFonts w:ascii="Cambria" w:hAnsi="Cambria"/>
          <w:sz w:val="20"/>
          <w:szCs w:val="20"/>
        </w:rPr>
        <w:tab/>
        <w:t xml:space="preserve">Based on the considerations and conclusions contained in this report, </w:t>
      </w:r>
    </w:p>
    <w:p w14:paraId="69A0DE64" w14:textId="77777777" w:rsidR="00FA675D" w:rsidRPr="000D21F8" w:rsidRDefault="00FA675D" w:rsidP="0026427B">
      <w:pPr>
        <w:jc w:val="both"/>
        <w:rPr>
          <w:rFonts w:ascii="Cambria" w:eastAsia="Times New Roman" w:hAnsi="Cambria" w:cstheme="minorHAnsi"/>
          <w:b/>
          <w:bCs/>
          <w:color w:val="000000" w:themeColor="text1"/>
          <w:sz w:val="20"/>
          <w:szCs w:val="20"/>
        </w:rPr>
      </w:pPr>
    </w:p>
    <w:p w14:paraId="5B80A381" w14:textId="77777777" w:rsidR="00FA675D" w:rsidRPr="00FA675D" w:rsidRDefault="00FA675D" w:rsidP="00FF60B6">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cstheme="minorHAnsi"/>
          <w:b/>
          <w:bCs/>
          <w:color w:val="000000" w:themeColor="text1"/>
          <w:sz w:val="20"/>
          <w:szCs w:val="20"/>
          <w:bdr w:val="none" w:sz="0" w:space="0" w:color="auto"/>
        </w:rPr>
      </w:pPr>
      <w:r>
        <w:rPr>
          <w:rFonts w:ascii="Cambria" w:eastAsia="Times New Roman" w:hAnsi="Cambria" w:cstheme="minorHAnsi"/>
          <w:b/>
          <w:bCs/>
          <w:color w:val="000000" w:themeColor="text1"/>
          <w:sz w:val="20"/>
          <w:szCs w:val="20"/>
        </w:rPr>
        <w:t>THE INTER-AMERICAN COMMISSION ON HUMAN RIGHTS</w:t>
      </w:r>
    </w:p>
    <w:p w14:paraId="710D6B65" w14:textId="77777777" w:rsidR="00FA675D" w:rsidRPr="00FA675D" w:rsidRDefault="00FA675D" w:rsidP="00FF60B6">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cstheme="minorHAnsi"/>
          <w:color w:val="000000" w:themeColor="text1"/>
          <w:sz w:val="20"/>
          <w:szCs w:val="20"/>
          <w:bdr w:val="none" w:sz="0" w:space="0" w:color="auto"/>
        </w:rPr>
      </w:pPr>
    </w:p>
    <w:p w14:paraId="2ADDF23C" w14:textId="52038D80" w:rsidR="00FA675D" w:rsidRDefault="00FA675D" w:rsidP="00D9101D">
      <w:pPr>
        <w:ind w:firstLine="720"/>
        <w:rPr>
          <w:rFonts w:ascii="Cambria" w:eastAsia="Times New Roman" w:hAnsi="Cambria" w:cstheme="minorHAnsi"/>
          <w:b/>
          <w:bCs/>
          <w:color w:val="000000" w:themeColor="text1"/>
          <w:sz w:val="20"/>
          <w:szCs w:val="20"/>
          <w:bdr w:val="none" w:sz="0" w:space="0" w:color="auto"/>
        </w:rPr>
      </w:pPr>
      <w:r>
        <w:rPr>
          <w:rFonts w:ascii="Cambria" w:eastAsia="Times New Roman" w:hAnsi="Cambria" w:cstheme="minorHAnsi"/>
          <w:b/>
          <w:bCs/>
          <w:color w:val="000000" w:themeColor="text1"/>
          <w:sz w:val="20"/>
          <w:szCs w:val="20"/>
          <w:bdr w:val="none" w:sz="0" w:space="0" w:color="auto"/>
        </w:rPr>
        <w:t>DECIDE</w:t>
      </w:r>
      <w:r>
        <w:rPr>
          <w:rFonts w:ascii="Cambria" w:eastAsia="Times New Roman" w:hAnsi="Cambria" w:cstheme="minorHAnsi"/>
          <w:b/>
          <w:bCs/>
          <w:color w:val="000000" w:themeColor="text1"/>
          <w:sz w:val="20"/>
          <w:szCs w:val="20"/>
        </w:rPr>
        <w:t>S</w:t>
      </w:r>
      <w:r>
        <w:rPr>
          <w:rFonts w:ascii="Cambria" w:eastAsia="Times New Roman" w:hAnsi="Cambria" w:cstheme="minorHAnsi"/>
          <w:b/>
          <w:bCs/>
          <w:color w:val="000000" w:themeColor="text1"/>
          <w:sz w:val="20"/>
          <w:szCs w:val="20"/>
          <w:bdr w:val="none" w:sz="0" w:space="0" w:color="auto"/>
        </w:rPr>
        <w:t>:</w:t>
      </w:r>
    </w:p>
    <w:p w14:paraId="275256FB" w14:textId="77777777" w:rsidR="00FF60B6" w:rsidRPr="00FA675D" w:rsidRDefault="00FF60B6" w:rsidP="0026427B">
      <w:pPr>
        <w:ind w:firstLine="720"/>
        <w:jc w:val="both"/>
        <w:rPr>
          <w:rFonts w:ascii="Cambria" w:eastAsia="Times New Roman" w:hAnsi="Cambria" w:cstheme="minorHAnsi"/>
          <w:b/>
          <w:bCs/>
          <w:color w:val="000000" w:themeColor="text1"/>
          <w:sz w:val="20"/>
          <w:szCs w:val="20"/>
        </w:rPr>
      </w:pPr>
    </w:p>
    <w:p w14:paraId="02DFE9AD" w14:textId="77777777" w:rsidR="00FF60B6" w:rsidRPr="002A4FCB" w:rsidRDefault="00FF60B6" w:rsidP="00F70E8B">
      <w:pPr>
        <w:pStyle w:val="paragraph"/>
        <w:numPr>
          <w:ilvl w:val="0"/>
          <w:numId w:val="59"/>
        </w:numPr>
        <w:tabs>
          <w:tab w:val="clear" w:pos="720"/>
        </w:tabs>
        <w:spacing w:before="0" w:beforeAutospacing="0" w:after="0" w:afterAutospacing="0"/>
        <w:ind w:left="0" w:firstLine="709"/>
        <w:jc w:val="both"/>
        <w:textAlignment w:val="baseline"/>
        <w:rPr>
          <w:rFonts w:ascii="Cambria" w:hAnsi="Cambria" w:cs="Segoe UI"/>
          <w:color w:val="000000"/>
          <w:sz w:val="20"/>
          <w:szCs w:val="20"/>
        </w:rPr>
      </w:pPr>
      <w:r w:rsidRPr="002A4FCB">
        <w:rPr>
          <w:rFonts w:ascii="Cambria" w:hAnsi="Cambria" w:cs="Segoe UI"/>
          <w:color w:val="000000"/>
          <w:sz w:val="20"/>
          <w:szCs w:val="20"/>
        </w:rPr>
        <w:t>To approve the terms of the agreement signed by the parties on July 26, 2002.</w:t>
      </w:r>
    </w:p>
    <w:p w14:paraId="63144386" w14:textId="77777777" w:rsidR="00FF60B6" w:rsidRPr="002A4FCB" w:rsidRDefault="00FF60B6" w:rsidP="00FF60B6">
      <w:pPr>
        <w:pStyle w:val="paragraph"/>
        <w:spacing w:before="0" w:beforeAutospacing="0" w:after="0" w:afterAutospacing="0"/>
        <w:ind w:firstLine="709"/>
        <w:jc w:val="both"/>
        <w:textAlignment w:val="baseline"/>
        <w:rPr>
          <w:rFonts w:ascii="Cambria" w:hAnsi="Cambria" w:cs="Segoe UI"/>
          <w:color w:val="000000"/>
          <w:sz w:val="20"/>
          <w:szCs w:val="20"/>
        </w:rPr>
      </w:pPr>
      <w:r w:rsidRPr="002A4FCB">
        <w:rPr>
          <w:rFonts w:ascii="Cambria" w:hAnsi="Cambria" w:cs="Segoe UI"/>
          <w:color w:val="000000"/>
          <w:sz w:val="20"/>
          <w:szCs w:val="20"/>
        </w:rPr>
        <w:t xml:space="preserve"> </w:t>
      </w:r>
      <w:bookmarkStart w:id="0" w:name="_Hlk119488677"/>
    </w:p>
    <w:p w14:paraId="1B6F55EF" w14:textId="77777777" w:rsidR="00FF60B6" w:rsidRPr="002A4FCB" w:rsidRDefault="00FF60B6" w:rsidP="00F70E8B">
      <w:pPr>
        <w:pStyle w:val="paragraph"/>
        <w:numPr>
          <w:ilvl w:val="0"/>
          <w:numId w:val="59"/>
        </w:numPr>
        <w:spacing w:before="0" w:beforeAutospacing="0" w:after="0" w:afterAutospacing="0"/>
        <w:ind w:left="0" w:firstLine="709"/>
        <w:jc w:val="both"/>
        <w:textAlignment w:val="baseline"/>
        <w:rPr>
          <w:rFonts w:ascii="Cambria" w:hAnsi="Cambria" w:cs="Segoe UI"/>
          <w:color w:val="000000"/>
          <w:sz w:val="20"/>
          <w:szCs w:val="20"/>
        </w:rPr>
      </w:pPr>
      <w:r w:rsidRPr="002A4FCB">
        <w:rPr>
          <w:rFonts w:ascii="Cambria" w:hAnsi="Cambria"/>
          <w:color w:val="000000"/>
          <w:sz w:val="20"/>
          <w:szCs w:val="20"/>
        </w:rPr>
        <w:t xml:space="preserve">To declare </w:t>
      </w:r>
      <w:r w:rsidRPr="002A4FCB">
        <w:rPr>
          <w:rFonts w:ascii="Cambria" w:hAnsi="Cambria"/>
          <w:color w:val="000000" w:themeColor="text1"/>
          <w:sz w:val="20"/>
        </w:rPr>
        <w:t xml:space="preserve">subparagraph (i), Act of acknowledgement of responsibility, of clause five </w:t>
      </w:r>
      <w:r w:rsidRPr="002A4FCB">
        <w:rPr>
          <w:rFonts w:ascii="Cambria" w:hAnsi="Cambria"/>
          <w:color w:val="000000"/>
          <w:sz w:val="20"/>
          <w:szCs w:val="20"/>
        </w:rPr>
        <w:t xml:space="preserve"> of the friendly settlement agreement to be at full compliance, based on the analysis herein.</w:t>
      </w:r>
    </w:p>
    <w:p w14:paraId="19406BAC" w14:textId="77777777" w:rsidR="00FF60B6" w:rsidRPr="002A4FCB" w:rsidRDefault="00FF60B6" w:rsidP="00FF60B6">
      <w:pPr>
        <w:pStyle w:val="paragraph"/>
        <w:spacing w:before="0" w:beforeAutospacing="0" w:after="0" w:afterAutospacing="0"/>
        <w:jc w:val="both"/>
        <w:textAlignment w:val="baseline"/>
        <w:rPr>
          <w:rFonts w:ascii="Cambria" w:hAnsi="Cambria" w:cs="Segoe UI"/>
          <w:color w:val="000000"/>
          <w:sz w:val="20"/>
          <w:szCs w:val="20"/>
        </w:rPr>
      </w:pPr>
    </w:p>
    <w:p w14:paraId="576F61A7" w14:textId="77777777" w:rsidR="00FF60B6" w:rsidRPr="002A4FCB" w:rsidRDefault="00FF60B6" w:rsidP="00F70E8B">
      <w:pPr>
        <w:pStyle w:val="paragraph"/>
        <w:numPr>
          <w:ilvl w:val="0"/>
          <w:numId w:val="59"/>
        </w:numPr>
        <w:spacing w:before="0" w:beforeAutospacing="0" w:after="0" w:afterAutospacing="0"/>
        <w:ind w:left="0" w:firstLine="709"/>
        <w:jc w:val="both"/>
        <w:textAlignment w:val="baseline"/>
        <w:rPr>
          <w:rFonts w:ascii="Cambria" w:hAnsi="Cambria" w:cs="Segoe UI"/>
          <w:color w:val="000000"/>
          <w:sz w:val="20"/>
          <w:szCs w:val="20"/>
        </w:rPr>
      </w:pPr>
      <w:r w:rsidRPr="002A4FCB">
        <w:rPr>
          <w:rFonts w:ascii="Cambria" w:hAnsi="Cambria"/>
          <w:color w:val="000000"/>
          <w:sz w:val="20"/>
          <w:szCs w:val="20"/>
        </w:rPr>
        <w:t>To declare</w:t>
      </w:r>
      <w:r w:rsidRPr="002A4FCB">
        <w:rPr>
          <w:rFonts w:ascii="Cambria" w:hAnsi="Cambria"/>
          <w:color w:val="000000" w:themeColor="text1"/>
          <w:sz w:val="20"/>
        </w:rPr>
        <w:t xml:space="preserve"> subparagraph </w:t>
      </w:r>
      <w:r w:rsidRPr="002A4FCB">
        <w:rPr>
          <w:rFonts w:ascii="Cambria" w:hAnsi="Cambria"/>
          <w:i/>
          <w:iCs/>
          <w:color w:val="000000" w:themeColor="text1"/>
          <w:sz w:val="20"/>
        </w:rPr>
        <w:t>(ii), Working group meetings with the Ministry of Housing, Urban, and Territorial Affairs,</w:t>
      </w:r>
      <w:r w:rsidRPr="002A4FCB">
        <w:rPr>
          <w:rFonts w:ascii="Cambria" w:hAnsi="Cambria"/>
          <w:color w:val="000000" w:themeColor="text1"/>
          <w:sz w:val="20"/>
        </w:rPr>
        <w:t xml:space="preserve"> of clause five and clause six (Compensation measures)</w:t>
      </w:r>
      <w:r w:rsidRPr="002A4FCB">
        <w:rPr>
          <w:rFonts w:ascii="Cambria" w:hAnsi="Cambria"/>
          <w:color w:val="000000"/>
          <w:sz w:val="20"/>
          <w:szCs w:val="20"/>
        </w:rPr>
        <w:t xml:space="preserve"> of the friendly settlement agreement to be pending compliance, based on the analysis herein.</w:t>
      </w:r>
    </w:p>
    <w:p w14:paraId="67021809" w14:textId="77777777" w:rsidR="00FF60B6" w:rsidRPr="002A4FCB" w:rsidRDefault="00FF60B6" w:rsidP="00FF60B6">
      <w:pPr>
        <w:pStyle w:val="paragraph"/>
        <w:spacing w:before="0" w:beforeAutospacing="0" w:after="0" w:afterAutospacing="0"/>
        <w:ind w:firstLine="709"/>
        <w:jc w:val="both"/>
        <w:textAlignment w:val="baseline"/>
        <w:rPr>
          <w:rFonts w:ascii="Cambria" w:hAnsi="Cambria" w:cs="Segoe UI"/>
          <w:color w:val="000000"/>
          <w:sz w:val="20"/>
          <w:szCs w:val="20"/>
        </w:rPr>
      </w:pPr>
    </w:p>
    <w:p w14:paraId="5660FF57" w14:textId="77777777" w:rsidR="00FF60B6" w:rsidRPr="002A4FCB" w:rsidRDefault="00FF60B6" w:rsidP="00F70E8B">
      <w:pPr>
        <w:pStyle w:val="paragraph"/>
        <w:numPr>
          <w:ilvl w:val="0"/>
          <w:numId w:val="59"/>
        </w:numPr>
        <w:spacing w:before="0" w:beforeAutospacing="0" w:after="0" w:afterAutospacing="0"/>
        <w:ind w:left="0" w:firstLine="709"/>
        <w:jc w:val="both"/>
        <w:textAlignment w:val="baseline"/>
        <w:rPr>
          <w:rFonts w:ascii="Cambria" w:hAnsi="Cambria" w:cs="Segoe UI"/>
          <w:color w:val="000000"/>
          <w:sz w:val="20"/>
          <w:szCs w:val="20"/>
        </w:rPr>
      </w:pPr>
      <w:r w:rsidRPr="002A4FCB">
        <w:rPr>
          <w:rFonts w:ascii="Cambria" w:hAnsi="Cambria" w:cs="Segoe UI"/>
          <w:color w:val="000000"/>
          <w:sz w:val="20"/>
          <w:szCs w:val="20"/>
        </w:rPr>
        <w:t>To declare the friendly settlement agreement to be at partial compliance, based on the analysis herein.</w:t>
      </w:r>
    </w:p>
    <w:p w14:paraId="62307FED" w14:textId="77777777" w:rsidR="00FF60B6" w:rsidRPr="002A4FCB" w:rsidRDefault="00FF60B6" w:rsidP="00FF60B6">
      <w:pPr>
        <w:pStyle w:val="ListParagraph"/>
        <w:ind w:left="0" w:firstLine="709"/>
        <w:rPr>
          <w:rFonts w:cs="Segoe UI"/>
          <w:sz w:val="20"/>
          <w:szCs w:val="20"/>
        </w:rPr>
      </w:pPr>
    </w:p>
    <w:p w14:paraId="79A88056" w14:textId="77777777" w:rsidR="00FF60B6" w:rsidRPr="002A4FCB" w:rsidRDefault="00FF60B6" w:rsidP="00F70E8B">
      <w:pPr>
        <w:pStyle w:val="paragraph"/>
        <w:numPr>
          <w:ilvl w:val="0"/>
          <w:numId w:val="59"/>
        </w:numPr>
        <w:spacing w:before="0" w:beforeAutospacing="0" w:after="0" w:afterAutospacing="0"/>
        <w:ind w:left="0" w:firstLine="709"/>
        <w:jc w:val="both"/>
        <w:textAlignment w:val="baseline"/>
        <w:rPr>
          <w:rFonts w:ascii="Cambria" w:hAnsi="Cambria" w:cs="Segoe UI"/>
          <w:color w:val="000000"/>
          <w:sz w:val="20"/>
          <w:szCs w:val="20"/>
        </w:rPr>
      </w:pPr>
      <w:r w:rsidRPr="002A4FCB">
        <w:rPr>
          <w:rFonts w:ascii="Cambria" w:hAnsi="Cambria"/>
          <w:color w:val="000000"/>
          <w:sz w:val="20"/>
          <w:szCs w:val="20"/>
        </w:rPr>
        <w:t>To continue to monitor compliance with</w:t>
      </w:r>
      <w:r w:rsidRPr="002A4FCB">
        <w:rPr>
          <w:rFonts w:ascii="Cambria" w:hAnsi="Cambria"/>
          <w:color w:val="000000" w:themeColor="text1"/>
          <w:sz w:val="20"/>
        </w:rPr>
        <w:t xml:space="preserve"> subparagraph </w:t>
      </w:r>
      <w:r w:rsidRPr="002A4FCB">
        <w:rPr>
          <w:rFonts w:ascii="Cambria" w:hAnsi="Cambria"/>
          <w:i/>
          <w:iCs/>
          <w:color w:val="000000" w:themeColor="text1"/>
          <w:sz w:val="20"/>
        </w:rPr>
        <w:t>(ii), Working group meetings with the Ministry of Housing, Urban, and Territorial Affairs,</w:t>
      </w:r>
      <w:r w:rsidRPr="002A4FCB">
        <w:rPr>
          <w:rFonts w:ascii="Cambria" w:hAnsi="Cambria"/>
          <w:color w:val="000000" w:themeColor="text1"/>
          <w:sz w:val="20"/>
        </w:rPr>
        <w:t xml:space="preserve"> of clause five and clause six (Compensation measures)</w:t>
      </w:r>
      <w:r w:rsidRPr="002A4FCB">
        <w:rPr>
          <w:rFonts w:ascii="Cambria" w:hAnsi="Cambria"/>
          <w:color w:val="000000"/>
          <w:sz w:val="20"/>
          <w:szCs w:val="20"/>
        </w:rPr>
        <w:t xml:space="preserve"> of the friendly settlement agreement, based on the analysis herein. To that end, to remind the Parties of their commitment to periodically inform the IACHR regarding compliance therewith. </w:t>
      </w:r>
    </w:p>
    <w:p w14:paraId="505049E5" w14:textId="77777777" w:rsidR="00FF60B6" w:rsidRPr="002A4FCB" w:rsidRDefault="00FF60B6" w:rsidP="00FF60B6">
      <w:pPr>
        <w:pStyle w:val="paragraph"/>
        <w:spacing w:before="0" w:beforeAutospacing="0" w:after="0" w:afterAutospacing="0"/>
        <w:jc w:val="both"/>
        <w:textAlignment w:val="baseline"/>
        <w:rPr>
          <w:rFonts w:ascii="Cambria" w:hAnsi="Cambria" w:cs="Segoe UI"/>
          <w:color w:val="000000"/>
          <w:sz w:val="20"/>
          <w:szCs w:val="20"/>
        </w:rPr>
      </w:pPr>
    </w:p>
    <w:p w14:paraId="332FAA56" w14:textId="77777777" w:rsidR="00FF60B6" w:rsidRDefault="00FF60B6" w:rsidP="00F70E8B">
      <w:pPr>
        <w:pStyle w:val="paragraph"/>
        <w:numPr>
          <w:ilvl w:val="0"/>
          <w:numId w:val="59"/>
        </w:numPr>
        <w:spacing w:before="0" w:beforeAutospacing="0" w:after="0" w:afterAutospacing="0"/>
        <w:ind w:left="0" w:firstLine="709"/>
        <w:jc w:val="both"/>
        <w:textAlignment w:val="baseline"/>
        <w:rPr>
          <w:rFonts w:ascii="Cambria" w:hAnsi="Cambria" w:cs="Segoe UI"/>
          <w:color w:val="000000"/>
          <w:sz w:val="20"/>
          <w:szCs w:val="20"/>
        </w:rPr>
      </w:pPr>
      <w:r w:rsidRPr="002A4FCB">
        <w:rPr>
          <w:rFonts w:ascii="Cambria" w:hAnsi="Cambria" w:cs="Segoe UI"/>
          <w:color w:val="000000"/>
          <w:sz w:val="20"/>
          <w:szCs w:val="20"/>
        </w:rPr>
        <w:t xml:space="preserve">To make the present report public and include it in its Annual Report to the General Assembly of the OAS. </w:t>
      </w:r>
      <w:bookmarkEnd w:id="0"/>
    </w:p>
    <w:p w14:paraId="22213F72" w14:textId="77777777" w:rsidR="008757EF" w:rsidRDefault="008757EF" w:rsidP="008757EF">
      <w:pPr>
        <w:pStyle w:val="ListParagraph"/>
        <w:rPr>
          <w:rFonts w:cs="Segoe UI"/>
          <w:sz w:val="20"/>
          <w:szCs w:val="20"/>
        </w:rPr>
      </w:pPr>
    </w:p>
    <w:p w14:paraId="1F4B20CE" w14:textId="77777777" w:rsidR="008757EF" w:rsidRDefault="008757EF" w:rsidP="008757EF">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26</w:t>
      </w:r>
      <w:r w:rsidRPr="006F4B4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July,</w:t>
      </w:r>
      <w:proofErr w:type="gramEnd"/>
      <w:r>
        <w:rPr>
          <w:rFonts w:ascii="Cambria" w:hAnsi="Cambria"/>
          <w:spacing w:val="-2"/>
          <w:sz w:val="20"/>
        </w:rPr>
        <w:t xml:space="preserve">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Joel Hernández</w:t>
      </w:r>
      <w:r>
        <w:rPr>
          <w:rStyle w:val="normaltextrun"/>
          <w:rFonts w:ascii="Cambria" w:hAnsi="Cambria" w:cs="Segoe UI"/>
          <w:sz w:val="20"/>
          <w:szCs w:val="20"/>
        </w:rPr>
        <w:t xml:space="preserve"> García</w:t>
      </w:r>
      <w:r w:rsidRPr="007B0A47">
        <w:rPr>
          <w:rStyle w:val="normaltextrun"/>
          <w:rFonts w:ascii="Cambria" w:hAnsi="Cambria" w:cs="Segoe UI"/>
          <w:sz w:val="20"/>
          <w:szCs w:val="20"/>
        </w:rPr>
        <w:t>, Julissa Mantilla Falcón</w:t>
      </w:r>
      <w:r>
        <w:rPr>
          <w:rStyle w:val="normaltextrun"/>
          <w:rFonts w:ascii="Cambria" w:hAnsi="Cambria" w:cs="Segoe UI"/>
          <w:sz w:val="20"/>
          <w:szCs w:val="20"/>
        </w:rPr>
        <w:t xml:space="preserve"> and</w:t>
      </w:r>
      <w:r w:rsidRPr="007B0A47">
        <w:rPr>
          <w:rStyle w:val="normaltextrun"/>
          <w:rFonts w:ascii="Cambria" w:hAnsi="Cambria" w:cs="Segoe UI"/>
          <w:sz w:val="20"/>
          <w:szCs w:val="20"/>
        </w:rPr>
        <w:t xml:space="preserve"> Stuardo Ralón Orellana</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1FA2BB0B" w14:textId="77777777" w:rsidR="00FA675D" w:rsidRPr="00FF60B6" w:rsidRDefault="00FA675D" w:rsidP="0026427B">
      <w:pPr>
        <w:tabs>
          <w:tab w:val="center" w:pos="5400"/>
        </w:tabs>
        <w:suppressAutoHyphens/>
        <w:rPr>
          <w:rFonts w:asciiTheme="majorHAnsi" w:hAnsiTheme="majorHAnsi"/>
          <w:sz w:val="20"/>
          <w:szCs w:val="20"/>
        </w:rPr>
      </w:pPr>
    </w:p>
    <w:sectPr w:rsidR="00FA675D" w:rsidRPr="00FF60B6"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60A7" w14:textId="77777777" w:rsidR="00E60A77" w:rsidRDefault="00E60A77" w:rsidP="00036A8A">
      <w:r>
        <w:separator/>
      </w:r>
    </w:p>
  </w:endnote>
  <w:endnote w:type="continuationSeparator" w:id="0">
    <w:p w14:paraId="46538524" w14:textId="77777777" w:rsidR="00E60A77" w:rsidRDefault="00E60A7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Pr>
            <w:sz w:val="16"/>
          </w:rPr>
          <w:fldChar w:fldCharType="begin"/>
        </w:r>
        <w:r>
          <w:rPr>
            <w:sz w:val="16"/>
          </w:rPr>
          <w:instrText xml:space="preserve"> PAGE   \* MERGEFORMAT </w:instrText>
        </w:r>
        <w:r>
          <w:rPr>
            <w:sz w:val="16"/>
          </w:rPr>
          <w:fldChar w:fldCharType="separate"/>
        </w:r>
        <w:r>
          <w:rPr>
            <w:noProof/>
            <w:sz w:val="16"/>
          </w:rPr>
          <w:t>2</w:t>
        </w:r>
        <w:r>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7F1D" w14:textId="77777777" w:rsidR="00E60A77" w:rsidRPr="00036A8A" w:rsidRDefault="00E60A77" w:rsidP="00036A8A">
      <w:pPr>
        <w:rPr>
          <w:rFonts w:asciiTheme="majorHAnsi" w:hAnsiTheme="majorHAnsi"/>
          <w:sz w:val="16"/>
          <w:szCs w:val="16"/>
        </w:rPr>
      </w:pPr>
      <w:r>
        <w:rPr>
          <w:rFonts w:asciiTheme="majorHAnsi" w:hAnsiTheme="majorHAnsi"/>
          <w:sz w:val="16"/>
          <w:szCs w:val="16"/>
        </w:rPr>
        <w:separator/>
      </w:r>
    </w:p>
  </w:footnote>
  <w:footnote w:type="continuationSeparator" w:id="0">
    <w:p w14:paraId="72B9C490" w14:textId="77777777" w:rsidR="00E60A77" w:rsidRPr="00036A8A" w:rsidRDefault="00E60A77" w:rsidP="00036A8A">
      <w:pPr>
        <w:rPr>
          <w:rFonts w:asciiTheme="majorHAnsi" w:hAnsiTheme="majorHAnsi"/>
          <w:sz w:val="16"/>
          <w:szCs w:val="16"/>
        </w:rPr>
      </w:pPr>
      <w:r>
        <w:rPr>
          <w:rFonts w:asciiTheme="majorHAnsi" w:hAnsiTheme="majorHAnsi"/>
          <w:sz w:val="16"/>
          <w:szCs w:val="16"/>
        </w:rPr>
        <w:separator/>
      </w:r>
    </w:p>
    <w:p w14:paraId="5BB6BA0D" w14:textId="77777777" w:rsidR="00E60A77" w:rsidRPr="00036A8A" w:rsidRDefault="00E60A77"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55CD5B5B" w14:textId="77777777" w:rsidR="00E60A77" w:rsidRPr="0093441A" w:rsidRDefault="00E60A77" w:rsidP="005B222D">
      <w:pPr>
        <w:jc w:val="right"/>
        <w:rPr>
          <w:rFonts w:asciiTheme="majorHAnsi" w:hAnsiTheme="majorHAnsi"/>
          <w:sz w:val="16"/>
          <w:szCs w:val="16"/>
        </w:rPr>
      </w:pPr>
      <w:r>
        <w:rPr>
          <w:rFonts w:asciiTheme="majorHAnsi" w:hAnsiTheme="majorHAnsi"/>
          <w:sz w:val="16"/>
          <w:szCs w:val="16"/>
        </w:rPr>
        <w:t>[continues …]</w:t>
      </w:r>
    </w:p>
  </w:footnote>
  <w:footnote w:id="2">
    <w:p w14:paraId="3D16DE25" w14:textId="50193EBE" w:rsidR="00D366B7" w:rsidRPr="00F70E8B" w:rsidRDefault="00D366B7" w:rsidP="00F70E8B">
      <w:pPr>
        <w:pStyle w:val="FootnoteText"/>
        <w:ind w:firstLine="720"/>
        <w:jc w:val="both"/>
        <w:rPr>
          <w:rFonts w:asciiTheme="majorHAnsi" w:hAnsiTheme="majorHAnsi"/>
          <w:sz w:val="16"/>
          <w:szCs w:val="16"/>
        </w:rPr>
      </w:pPr>
      <w:r w:rsidRPr="008E619A">
        <w:rPr>
          <w:rStyle w:val="FootnoteReference"/>
          <w:rFonts w:asciiTheme="majorHAnsi" w:hAnsiTheme="majorHAnsi"/>
          <w:sz w:val="16"/>
          <w:szCs w:val="16"/>
        </w:rPr>
        <w:footnoteRef/>
      </w:r>
      <w:r w:rsidR="008A153A" w:rsidRPr="008E619A">
        <w:rPr>
          <w:rFonts w:asciiTheme="majorHAnsi" w:hAnsiTheme="majorHAnsi"/>
          <w:sz w:val="16"/>
          <w:szCs w:val="16"/>
        </w:rPr>
        <w:t xml:space="preserve"> </w:t>
      </w:r>
      <w:r w:rsidRPr="008E619A">
        <w:rPr>
          <w:rFonts w:asciiTheme="majorHAnsi" w:hAnsiTheme="majorHAnsi"/>
          <w:sz w:val="16"/>
          <w:szCs w:val="16"/>
        </w:rPr>
        <w:t>In accordance with Article 17(2)(a) of the Rules of Procedure of the IACHR, Commissioner Carlos Bernal Pulido, a Colombian national, did not participate in the discussion or decision on this case.</w:t>
      </w:r>
    </w:p>
  </w:footnote>
  <w:footnote w:id="3">
    <w:p w14:paraId="14EEA7D8" w14:textId="0D8BAFEA" w:rsidR="00B83DF6" w:rsidRPr="005960C5" w:rsidRDefault="00B83DF6" w:rsidP="00B83DF6">
      <w:pPr>
        <w:pStyle w:val="FootnoteText"/>
        <w:ind w:firstLine="709"/>
        <w:jc w:val="both"/>
        <w:rPr>
          <w:rFonts w:ascii="Cambria" w:hAnsi="Cambria"/>
          <w:sz w:val="16"/>
          <w:szCs w:val="16"/>
        </w:rPr>
      </w:pPr>
      <w:r w:rsidRPr="005960C5">
        <w:rPr>
          <w:rStyle w:val="FootnoteReference"/>
          <w:rFonts w:ascii="Cambria" w:hAnsi="Cambria"/>
          <w:sz w:val="16"/>
          <w:szCs w:val="16"/>
        </w:rPr>
        <w:footnoteRef/>
      </w:r>
      <w:r w:rsidRPr="005960C5">
        <w:t xml:space="preserve"> </w:t>
      </w:r>
      <w:r w:rsidRPr="005960C5">
        <w:rPr>
          <w:rFonts w:ascii="Cambria" w:hAnsi="Cambria"/>
          <w:sz w:val="16"/>
          <w:szCs w:val="16"/>
        </w:rPr>
        <w:t>I/A Court H.R., Case of the Serrano Cruz Sisters v. El Salvador, Merits, Reparations and Costs, Judgment of March 1, 2005, Series C No. 120, para. 150.</w:t>
      </w:r>
    </w:p>
  </w:footnote>
  <w:footnote w:id="4">
    <w:p w14:paraId="22A9D0CE" w14:textId="77777777" w:rsidR="00B83DF6" w:rsidRPr="005960C5" w:rsidRDefault="00B83DF6" w:rsidP="00B83DF6">
      <w:pPr>
        <w:pStyle w:val="FootnoteText"/>
        <w:ind w:firstLine="709"/>
        <w:jc w:val="both"/>
        <w:rPr>
          <w:rFonts w:ascii="Cambria" w:hAnsi="Cambria"/>
          <w:sz w:val="16"/>
          <w:szCs w:val="16"/>
        </w:rPr>
      </w:pPr>
      <w:r w:rsidRPr="005960C5">
        <w:rPr>
          <w:rStyle w:val="FootnoteReference"/>
          <w:rFonts w:ascii="Cambria" w:hAnsi="Cambria"/>
          <w:sz w:val="16"/>
          <w:szCs w:val="16"/>
        </w:rPr>
        <w:footnoteRef/>
      </w:r>
      <w:r w:rsidRPr="005960C5">
        <w:t xml:space="preserve"> </w:t>
      </w:r>
      <w:r w:rsidRPr="005960C5">
        <w:rPr>
          <w:rFonts w:ascii="Cambria" w:hAnsi="Cambria"/>
          <w:sz w:val="16"/>
          <w:szCs w:val="16"/>
        </w:rPr>
        <w:t>I/A Court H.R., Case of Caesar  v. Trinidad and Tobago, Merits, Reparations and Costs, Judgment of March 11, 2005, Series C No. 123, para. 125.</w:t>
      </w:r>
    </w:p>
  </w:footnote>
  <w:footnote w:id="5">
    <w:p w14:paraId="67BC2AD0" w14:textId="77777777" w:rsidR="00B83DF6" w:rsidRPr="005960C5" w:rsidRDefault="00B83DF6" w:rsidP="00B83DF6">
      <w:pPr>
        <w:pStyle w:val="FootnoteText"/>
        <w:ind w:firstLine="709"/>
        <w:jc w:val="both"/>
        <w:rPr>
          <w:rFonts w:ascii="Cambria" w:hAnsi="Cambria"/>
          <w:sz w:val="16"/>
          <w:szCs w:val="16"/>
        </w:rPr>
      </w:pPr>
      <w:r w:rsidRPr="005960C5">
        <w:rPr>
          <w:rStyle w:val="FootnoteReference"/>
          <w:rFonts w:ascii="Cambria" w:hAnsi="Cambria"/>
          <w:sz w:val="16"/>
          <w:szCs w:val="16"/>
        </w:rPr>
        <w:footnoteRef/>
      </w:r>
      <w:r w:rsidRPr="005960C5">
        <w:rPr>
          <w:rFonts w:ascii="Cambria" w:hAnsi="Cambria"/>
          <w:sz w:val="16"/>
          <w:szCs w:val="16"/>
        </w:rPr>
        <w:t xml:space="preserve"> Initial petition, January 2009.</w:t>
      </w:r>
    </w:p>
  </w:footnote>
  <w:footnote w:id="6">
    <w:p w14:paraId="38C36A0E" w14:textId="77777777" w:rsidR="00B83DF6" w:rsidRPr="005960C5" w:rsidRDefault="00B83DF6" w:rsidP="00B83DF6">
      <w:pPr>
        <w:pStyle w:val="FootnoteText"/>
        <w:ind w:firstLine="709"/>
        <w:jc w:val="both"/>
        <w:rPr>
          <w:rFonts w:ascii="Cambria" w:hAnsi="Cambria"/>
          <w:sz w:val="16"/>
          <w:szCs w:val="16"/>
        </w:rPr>
      </w:pPr>
      <w:r w:rsidRPr="005960C5">
        <w:rPr>
          <w:rStyle w:val="FootnoteReference"/>
          <w:rFonts w:ascii="Cambria" w:hAnsi="Cambria"/>
          <w:sz w:val="16"/>
          <w:szCs w:val="16"/>
        </w:rPr>
        <w:footnoteRef/>
      </w:r>
      <w:r w:rsidRPr="005960C5">
        <w:rPr>
          <w:rFonts w:ascii="Cambria" w:hAnsi="Cambria"/>
          <w:sz w:val="16"/>
          <w:szCs w:val="16"/>
        </w:rPr>
        <w:t xml:space="preserve"> </w:t>
      </w:r>
      <w:r w:rsidRPr="005960C5">
        <w:rPr>
          <w:rFonts w:ascii="Cambria" w:hAnsi="Cambria"/>
          <w:i/>
          <w:iCs/>
          <w:sz w:val="16"/>
          <w:szCs w:val="16"/>
        </w:rPr>
        <w:t>Ibid.</w:t>
      </w:r>
    </w:p>
  </w:footnote>
  <w:footnote w:id="7">
    <w:p w14:paraId="3BC8803D" w14:textId="77777777" w:rsidR="00B83DF6" w:rsidRPr="005960C5" w:rsidRDefault="00B83DF6" w:rsidP="00B83DF6">
      <w:pPr>
        <w:pStyle w:val="FootnoteText"/>
        <w:ind w:firstLine="709"/>
        <w:jc w:val="both"/>
        <w:rPr>
          <w:rFonts w:ascii="Cambria" w:hAnsi="Cambria"/>
          <w:sz w:val="16"/>
          <w:szCs w:val="16"/>
        </w:rPr>
      </w:pPr>
      <w:r w:rsidRPr="005960C5">
        <w:rPr>
          <w:rStyle w:val="FootnoteReference"/>
          <w:rFonts w:ascii="Cambria" w:hAnsi="Cambria"/>
          <w:sz w:val="16"/>
          <w:szCs w:val="16"/>
        </w:rPr>
        <w:footnoteRef/>
      </w:r>
      <w:r w:rsidRPr="005960C5">
        <w:rPr>
          <w:rFonts w:ascii="Cambria" w:hAnsi="Cambria"/>
          <w:sz w:val="16"/>
          <w:szCs w:val="16"/>
        </w:rPr>
        <w:t xml:space="preserve"> Inter-American Commission on Human Rights, Report on Admissibility 130/19.</w:t>
      </w:r>
    </w:p>
  </w:footnote>
  <w:footnote w:id="8">
    <w:p w14:paraId="15EC863F" w14:textId="77777777" w:rsidR="00B83DF6" w:rsidRPr="005960C5" w:rsidRDefault="00B83DF6" w:rsidP="00B83DF6">
      <w:pPr>
        <w:pStyle w:val="FootnoteText"/>
        <w:ind w:firstLine="709"/>
        <w:jc w:val="both"/>
        <w:rPr>
          <w:rFonts w:ascii="Cambria" w:hAnsi="Cambria"/>
          <w:sz w:val="16"/>
          <w:szCs w:val="16"/>
        </w:rPr>
      </w:pPr>
      <w:r w:rsidRPr="005960C5">
        <w:rPr>
          <w:rStyle w:val="FootnoteReference"/>
          <w:rFonts w:ascii="Cambria" w:hAnsi="Cambria"/>
          <w:sz w:val="16"/>
          <w:szCs w:val="16"/>
        </w:rPr>
        <w:footnoteRef/>
      </w:r>
      <w:r w:rsidRPr="005960C5">
        <w:rPr>
          <w:rFonts w:ascii="Cambria" w:hAnsi="Cambria"/>
          <w:sz w:val="16"/>
          <w:szCs w:val="16"/>
        </w:rPr>
        <w:t xml:space="preserve"> Office of the Attorney General, Official communication No. 20151700022951 of April 13, 2015.</w:t>
      </w:r>
    </w:p>
  </w:footnote>
  <w:footnote w:id="9">
    <w:p w14:paraId="2DE6C973" w14:textId="77777777" w:rsidR="00B83DF6" w:rsidRPr="000B1A47" w:rsidRDefault="00B83DF6" w:rsidP="000B1A47">
      <w:pPr>
        <w:pStyle w:val="FootnoteText"/>
        <w:ind w:firstLine="706"/>
        <w:jc w:val="both"/>
        <w:rPr>
          <w:rFonts w:ascii="Cambria" w:hAnsi="Cambria"/>
          <w:sz w:val="16"/>
          <w:szCs w:val="16"/>
        </w:rPr>
      </w:pPr>
      <w:r w:rsidRPr="000B1A47">
        <w:rPr>
          <w:rStyle w:val="FootnoteReference"/>
          <w:rFonts w:ascii="Cambria" w:hAnsi="Cambria"/>
          <w:sz w:val="16"/>
          <w:szCs w:val="16"/>
        </w:rPr>
        <w:footnoteRef/>
      </w:r>
      <w:r w:rsidRPr="000B1A47">
        <w:rPr>
          <w:rFonts w:ascii="Cambria" w:hAnsi="Cambria"/>
          <w:sz w:val="16"/>
          <w:szCs w:val="16"/>
        </w:rPr>
        <w:t xml:space="preserve"> Ibid.</w:t>
      </w:r>
    </w:p>
  </w:footnote>
  <w:footnote w:id="10">
    <w:p w14:paraId="09CAFADA" w14:textId="77777777" w:rsidR="00B83DF6" w:rsidRPr="000B1A47" w:rsidRDefault="00B83DF6" w:rsidP="000B1A47">
      <w:pPr>
        <w:pStyle w:val="FootnoteText"/>
        <w:ind w:firstLine="706"/>
        <w:jc w:val="both"/>
        <w:rPr>
          <w:rFonts w:ascii="Cambria" w:hAnsi="Cambria"/>
          <w:sz w:val="16"/>
          <w:szCs w:val="16"/>
        </w:rPr>
      </w:pPr>
      <w:r w:rsidRPr="000B1A47">
        <w:rPr>
          <w:rStyle w:val="FootnoteReference"/>
          <w:rFonts w:ascii="Cambria" w:hAnsi="Cambria"/>
          <w:sz w:val="16"/>
          <w:szCs w:val="16"/>
        </w:rPr>
        <w:footnoteRef/>
      </w:r>
      <w:r w:rsidRPr="000B1A47">
        <w:rPr>
          <w:rFonts w:ascii="Cambria" w:hAnsi="Cambria"/>
          <w:sz w:val="16"/>
          <w:szCs w:val="16"/>
        </w:rPr>
        <w:t xml:space="preserve"> Ibid.</w:t>
      </w:r>
    </w:p>
  </w:footnote>
  <w:footnote w:id="11">
    <w:p w14:paraId="4B0627E7" w14:textId="77777777" w:rsidR="00B83DF6" w:rsidRPr="000B1A47" w:rsidRDefault="00B83DF6" w:rsidP="000B1A47">
      <w:pPr>
        <w:pStyle w:val="FootnoteText"/>
        <w:ind w:firstLine="706"/>
        <w:jc w:val="both"/>
        <w:rPr>
          <w:rFonts w:ascii="Cambria" w:hAnsi="Cambria"/>
          <w:sz w:val="16"/>
          <w:szCs w:val="16"/>
        </w:rPr>
      </w:pPr>
      <w:r w:rsidRPr="000B1A47">
        <w:rPr>
          <w:rStyle w:val="FootnoteReference"/>
          <w:rFonts w:ascii="Cambria" w:hAnsi="Cambria"/>
          <w:sz w:val="16"/>
          <w:szCs w:val="16"/>
        </w:rPr>
        <w:footnoteRef/>
      </w:r>
      <w:r w:rsidRPr="000B1A47">
        <w:rPr>
          <w:rFonts w:ascii="Cambria" w:hAnsi="Cambria"/>
          <w:sz w:val="16"/>
          <w:szCs w:val="16"/>
        </w:rPr>
        <w:t xml:space="preserve"> Ibid.</w:t>
      </w:r>
    </w:p>
  </w:footnote>
  <w:footnote w:id="12">
    <w:p w14:paraId="4635B74A" w14:textId="77777777" w:rsidR="00B83DF6" w:rsidRPr="000B1A47" w:rsidRDefault="00B83DF6" w:rsidP="000B1A47">
      <w:pPr>
        <w:pStyle w:val="FootnoteText"/>
        <w:ind w:firstLine="706"/>
        <w:jc w:val="both"/>
        <w:rPr>
          <w:rFonts w:ascii="Cambria" w:hAnsi="Cambria"/>
          <w:sz w:val="16"/>
          <w:szCs w:val="16"/>
        </w:rPr>
      </w:pPr>
      <w:r w:rsidRPr="000B1A47">
        <w:rPr>
          <w:rStyle w:val="FootnoteReference"/>
          <w:rFonts w:ascii="Cambria" w:hAnsi="Cambria"/>
          <w:sz w:val="16"/>
          <w:szCs w:val="16"/>
        </w:rPr>
        <w:footnoteRef/>
      </w:r>
      <w:r w:rsidRPr="000B1A47">
        <w:rPr>
          <w:rFonts w:ascii="Cambria" w:hAnsi="Cambria"/>
          <w:sz w:val="16"/>
          <w:szCs w:val="16"/>
        </w:rPr>
        <w:t xml:space="preserve"> Ibid.</w:t>
      </w:r>
    </w:p>
  </w:footnote>
  <w:footnote w:id="13">
    <w:p w14:paraId="15C55AB7" w14:textId="77777777" w:rsidR="00B83DF6" w:rsidRPr="000B1A47" w:rsidRDefault="00B83DF6" w:rsidP="000B1A47">
      <w:pPr>
        <w:pStyle w:val="FootnoteText"/>
        <w:ind w:firstLine="706"/>
        <w:jc w:val="both"/>
        <w:rPr>
          <w:rFonts w:ascii="Cambria" w:hAnsi="Cambria"/>
          <w:sz w:val="16"/>
          <w:szCs w:val="16"/>
        </w:rPr>
      </w:pPr>
      <w:r w:rsidRPr="000B1A47">
        <w:rPr>
          <w:rStyle w:val="FootnoteReference"/>
          <w:rFonts w:ascii="Cambria" w:hAnsi="Cambria"/>
          <w:sz w:val="16"/>
          <w:szCs w:val="16"/>
        </w:rPr>
        <w:footnoteRef/>
      </w:r>
      <w:r w:rsidRPr="000B1A47">
        <w:rPr>
          <w:rFonts w:ascii="Cambria" w:hAnsi="Cambria"/>
          <w:sz w:val="16"/>
          <w:szCs w:val="16"/>
        </w:rPr>
        <w:t xml:space="preserve"> Ibid.</w:t>
      </w:r>
    </w:p>
  </w:footnote>
  <w:footnote w:id="14">
    <w:p w14:paraId="4F35E73C" w14:textId="77777777" w:rsidR="00B83DF6" w:rsidRPr="000B1A47" w:rsidRDefault="00B83DF6" w:rsidP="000B1A47">
      <w:pPr>
        <w:pStyle w:val="FootnoteText"/>
        <w:ind w:firstLine="706"/>
        <w:jc w:val="both"/>
        <w:rPr>
          <w:rFonts w:ascii="Cambria" w:hAnsi="Cambria"/>
          <w:sz w:val="16"/>
          <w:szCs w:val="16"/>
        </w:rPr>
      </w:pPr>
      <w:r w:rsidRPr="000B1A47">
        <w:rPr>
          <w:rStyle w:val="FootnoteReference"/>
          <w:rFonts w:ascii="Cambria" w:hAnsi="Cambria"/>
          <w:sz w:val="16"/>
          <w:szCs w:val="16"/>
        </w:rPr>
        <w:footnoteRef/>
      </w:r>
      <w:r w:rsidRPr="000B1A47">
        <w:rPr>
          <w:rFonts w:ascii="Cambria" w:hAnsi="Cambria"/>
          <w:sz w:val="16"/>
          <w:szCs w:val="16"/>
        </w:rPr>
        <w:t xml:space="preserve"> Ibid.</w:t>
      </w:r>
    </w:p>
  </w:footnote>
  <w:footnote w:id="15">
    <w:p w14:paraId="61F4D0F2" w14:textId="77777777" w:rsidR="00B83DF6" w:rsidRPr="003B7EDF" w:rsidRDefault="00B83DF6" w:rsidP="00B83DF6">
      <w:pPr>
        <w:pStyle w:val="FootnoteText"/>
        <w:ind w:firstLine="709"/>
        <w:jc w:val="both"/>
        <w:rPr>
          <w:rFonts w:ascii="Cambria" w:hAnsi="Cambria"/>
          <w:sz w:val="16"/>
          <w:szCs w:val="16"/>
        </w:rPr>
      </w:pPr>
      <w:r w:rsidRPr="00613A3D">
        <w:rPr>
          <w:rStyle w:val="FootnoteReference"/>
          <w:rFonts w:ascii="Cambria" w:hAnsi="Cambria"/>
          <w:sz w:val="16"/>
          <w:szCs w:val="16"/>
        </w:rPr>
        <w:footnoteRef/>
      </w:r>
      <w:r w:rsidRPr="00613A3D">
        <w:rPr>
          <w:rFonts w:ascii="Cambria" w:hAnsi="Cambria"/>
          <w:sz w:val="16"/>
          <w:szCs w:val="16"/>
        </w:rPr>
        <w:t xml:space="preserve"> This, in accordance with the jurisprudence of the Inter-American Court of Human Rights. See I/A Court H.R., Case of the Afro-descendant communities displaced from the Cacarica River Basin (Operation Genesis) v. Colombia, Preliminary Objections, Merits, Reparations and Costs, Judgment of November 20, 2013, Series C No. 270, para. 425.</w:t>
      </w:r>
    </w:p>
  </w:footnote>
  <w:footnote w:id="16">
    <w:p w14:paraId="0800C030" w14:textId="77777777" w:rsidR="00B83DF6" w:rsidRPr="00EF2603" w:rsidRDefault="00B83DF6" w:rsidP="00B83DF6">
      <w:pPr>
        <w:pStyle w:val="FootnoteText"/>
        <w:ind w:firstLine="709"/>
        <w:jc w:val="both"/>
        <w:rPr>
          <w:rFonts w:ascii="Cambria" w:hAnsi="Cambria"/>
          <w:sz w:val="16"/>
          <w:szCs w:val="16"/>
        </w:rPr>
      </w:pPr>
      <w:r w:rsidRPr="00613A3D">
        <w:rPr>
          <w:rStyle w:val="FootnoteReference"/>
          <w:rFonts w:ascii="Cambria" w:hAnsi="Cambria"/>
          <w:sz w:val="16"/>
          <w:szCs w:val="16"/>
        </w:rPr>
        <w:footnoteRef/>
      </w:r>
      <w:r w:rsidRPr="00613A3D">
        <w:rPr>
          <w:rFonts w:ascii="Cambria" w:hAnsi="Cambria"/>
          <w:sz w:val="16"/>
          <w:szCs w:val="16"/>
        </w:rPr>
        <w:t xml:space="preserve"> Ministry of Housing, Urban, and Territorial Affairs, Official communication of July 18, 2022, Case 2022EE00674.</w:t>
      </w:r>
    </w:p>
  </w:footnote>
  <w:footnote w:id="17">
    <w:p w14:paraId="74924D14" w14:textId="77777777" w:rsidR="00DD5436" w:rsidRDefault="00DD5436" w:rsidP="00DD5436">
      <w:pPr>
        <w:pStyle w:val="FootnoteText"/>
        <w:ind w:firstLine="720"/>
        <w:jc w:val="both"/>
        <w:rPr>
          <w:rFonts w:asciiTheme="majorHAnsi" w:hAnsiTheme="majorHAnsi"/>
          <w:sz w:val="16"/>
          <w:szCs w:val="16"/>
          <w:bdr w:val="none" w:sz="0" w:space="0" w:color="auto" w:frame="1"/>
        </w:rPr>
      </w:pPr>
      <w:r>
        <w:rPr>
          <w:rStyle w:val="FootnoteReference"/>
          <w:rFonts w:asciiTheme="majorHAnsi" w:hAnsiTheme="majorHAnsi"/>
          <w:sz w:val="16"/>
          <w:szCs w:val="16"/>
        </w:rPr>
        <w:footnoteRef/>
      </w:r>
      <w:r>
        <w:rPr>
          <w:rFonts w:asciiTheme="majorHAnsi" w:hAnsiTheme="majorHAnsi"/>
          <w:sz w:val="16"/>
          <w:szCs w:val="16"/>
        </w:rPr>
        <w:t xml:space="preserve"> Vienna Convention on the Law of Treaties, U.N. Doc A/CONF.39/27 (1969), Article 26: </w:t>
      </w:r>
      <w:r>
        <w:rPr>
          <w:rFonts w:asciiTheme="majorHAnsi" w:hAnsiTheme="majorHAnsi"/>
          <w:b/>
          <w:bCs/>
          <w:sz w:val="16"/>
          <w:szCs w:val="16"/>
        </w:rPr>
        <w:t>"Pacta sunt servanda"</w:t>
      </w:r>
      <w:r>
        <w:rPr>
          <w:rFonts w:asciiTheme="majorHAnsi" w:hAnsiTheme="majorHAnsi"/>
          <w:sz w:val="16"/>
          <w:szCs w:val="16"/>
        </w:rPr>
        <w:t xml:space="preserve"> </w:t>
      </w:r>
      <w:r>
        <w:rPr>
          <w:rFonts w:asciiTheme="majorHAnsi" w:hAnsiTheme="majorHAnsi"/>
          <w:i/>
          <w:iCs/>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EE68E2"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F49495E"/>
    <w:multiLevelType w:val="multilevel"/>
    <w:tmpl w:val="DDF0EAEE"/>
    <w:lvl w:ilvl="0">
      <w:start w:val="1"/>
      <w:numFmt w:val="decimal"/>
      <w:lvlText w:val="%1."/>
      <w:lvlJc w:val="left"/>
      <w:pPr>
        <w:tabs>
          <w:tab w:val="num" w:pos="360"/>
        </w:tabs>
        <w:ind w:left="36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56E1F"/>
    <w:multiLevelType w:val="multilevel"/>
    <w:tmpl w:val="70A615AC"/>
    <w:lvl w:ilvl="0">
      <w:start w:val="2"/>
      <w:numFmt w:val="upperRoman"/>
      <w:lvlText w:val="%1."/>
      <w:lvlJc w:val="right"/>
      <w:pPr>
        <w:tabs>
          <w:tab w:val="num" w:pos="720"/>
        </w:tabs>
        <w:ind w:left="720" w:hanging="360"/>
      </w:pPr>
      <w:rPr>
        <w:b/>
        <w:bCs/>
      </w:r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B105E89"/>
    <w:multiLevelType w:val="multilevel"/>
    <w:tmpl w:val="4072CACE"/>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3"/>
  </w:num>
  <w:num w:numId="4" w16cid:durableId="979070274">
    <w:abstractNumId w:val="21"/>
  </w:num>
  <w:num w:numId="5" w16cid:durableId="744229055">
    <w:abstractNumId w:val="47"/>
  </w:num>
  <w:num w:numId="6" w16cid:durableId="656034568">
    <w:abstractNumId w:val="26"/>
  </w:num>
  <w:num w:numId="7" w16cid:durableId="727655662">
    <w:abstractNumId w:val="5"/>
  </w:num>
  <w:num w:numId="8" w16cid:durableId="1350257806">
    <w:abstractNumId w:val="15"/>
  </w:num>
  <w:num w:numId="9" w16cid:durableId="130488493">
    <w:abstractNumId w:val="36"/>
  </w:num>
  <w:num w:numId="10" w16cid:durableId="1791899799">
    <w:abstractNumId w:val="40"/>
  </w:num>
  <w:num w:numId="11" w16cid:durableId="1674256508">
    <w:abstractNumId w:val="0"/>
  </w:num>
  <w:num w:numId="12" w16cid:durableId="328289490">
    <w:abstractNumId w:val="35"/>
  </w:num>
  <w:num w:numId="13" w16cid:durableId="2031712440">
    <w:abstractNumId w:val="41"/>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6"/>
  </w:num>
  <w:num w:numId="26" w16cid:durableId="1624967865">
    <w:abstractNumId w:val="17"/>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5"/>
  </w:num>
  <w:num w:numId="42" w16cid:durableId="1611428575">
    <w:abstractNumId w:val="48"/>
  </w:num>
  <w:num w:numId="43" w16cid:durableId="1270040612">
    <w:abstractNumId w:val="49"/>
  </w:num>
  <w:num w:numId="44" w16cid:durableId="1808666855">
    <w:abstractNumId w:val="51"/>
  </w:num>
  <w:num w:numId="45" w16cid:durableId="751901012">
    <w:abstractNumId w:val="52"/>
  </w:num>
  <w:num w:numId="46" w16cid:durableId="64649807">
    <w:abstractNumId w:val="54"/>
  </w:num>
  <w:num w:numId="47" w16cid:durableId="119230681">
    <w:abstractNumId w:val="56"/>
  </w:num>
  <w:num w:numId="48" w16cid:durableId="803155736">
    <w:abstractNumId w:val="57"/>
  </w:num>
  <w:num w:numId="49" w16cid:durableId="1357391496">
    <w:abstractNumId w:val="58"/>
  </w:num>
  <w:num w:numId="50" w16cid:durableId="343672891">
    <w:abstractNumId w:val="59"/>
  </w:num>
  <w:num w:numId="51" w16cid:durableId="592787785">
    <w:abstractNumId w:val="20"/>
  </w:num>
  <w:num w:numId="52" w16cid:durableId="1631744929">
    <w:abstractNumId w:val="39"/>
  </w:num>
  <w:num w:numId="53" w16cid:durableId="1848640289">
    <w:abstractNumId w:val="50"/>
  </w:num>
  <w:num w:numId="54" w16cid:durableId="1577782847">
    <w:abstractNumId w:val="42"/>
  </w:num>
  <w:num w:numId="55" w16cid:durableId="656763769">
    <w:abstractNumId w:val="43"/>
  </w:num>
  <w:num w:numId="56" w16cid:durableId="8609616">
    <w:abstractNumId w:val="18"/>
  </w:num>
  <w:num w:numId="57" w16cid:durableId="1163861930">
    <w:abstractNumId w:val="19"/>
  </w:num>
  <w:num w:numId="58" w16cid:durableId="2084062051">
    <w:abstractNumId w:val="55"/>
  </w:num>
  <w:num w:numId="59" w16cid:durableId="1284578232">
    <w:abstractNumId w:val="44"/>
  </w:num>
  <w:num w:numId="60" w16cid:durableId="1230994381">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1D"/>
    <w:rsid w:val="00000CDA"/>
    <w:rsid w:val="000070D7"/>
    <w:rsid w:val="000111A8"/>
    <w:rsid w:val="0001788C"/>
    <w:rsid w:val="0003155F"/>
    <w:rsid w:val="00036A8A"/>
    <w:rsid w:val="00040C3A"/>
    <w:rsid w:val="000639C0"/>
    <w:rsid w:val="00070F3A"/>
    <w:rsid w:val="000716C5"/>
    <w:rsid w:val="00075E23"/>
    <w:rsid w:val="00081DF2"/>
    <w:rsid w:val="00092F32"/>
    <w:rsid w:val="0009344A"/>
    <w:rsid w:val="000977C7"/>
    <w:rsid w:val="000A575F"/>
    <w:rsid w:val="000B1A47"/>
    <w:rsid w:val="000D10DB"/>
    <w:rsid w:val="000D21F8"/>
    <w:rsid w:val="001167AB"/>
    <w:rsid w:val="0013104F"/>
    <w:rsid w:val="00137EBA"/>
    <w:rsid w:val="00145EDC"/>
    <w:rsid w:val="00167A34"/>
    <w:rsid w:val="0018037F"/>
    <w:rsid w:val="0019119B"/>
    <w:rsid w:val="001A5F27"/>
    <w:rsid w:val="001A7870"/>
    <w:rsid w:val="001B7524"/>
    <w:rsid w:val="001C1B41"/>
    <w:rsid w:val="002012A6"/>
    <w:rsid w:val="00210E0E"/>
    <w:rsid w:val="00215FCD"/>
    <w:rsid w:val="00241107"/>
    <w:rsid w:val="00247403"/>
    <w:rsid w:val="00247542"/>
    <w:rsid w:val="00257893"/>
    <w:rsid w:val="0026427B"/>
    <w:rsid w:val="00266092"/>
    <w:rsid w:val="00266B61"/>
    <w:rsid w:val="0026712A"/>
    <w:rsid w:val="002704DB"/>
    <w:rsid w:val="002A4FCB"/>
    <w:rsid w:val="002A65AC"/>
    <w:rsid w:val="002C1641"/>
    <w:rsid w:val="002C4F03"/>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15A8"/>
    <w:rsid w:val="00386CF0"/>
    <w:rsid w:val="003B2BA8"/>
    <w:rsid w:val="003C32BC"/>
    <w:rsid w:val="003F1BBF"/>
    <w:rsid w:val="004165C2"/>
    <w:rsid w:val="00450A4A"/>
    <w:rsid w:val="004666FB"/>
    <w:rsid w:val="00467B7E"/>
    <w:rsid w:val="0049165C"/>
    <w:rsid w:val="0049419D"/>
    <w:rsid w:val="004B0287"/>
    <w:rsid w:val="004B2762"/>
    <w:rsid w:val="004B7EB6"/>
    <w:rsid w:val="004C4B62"/>
    <w:rsid w:val="004D6025"/>
    <w:rsid w:val="004D72BC"/>
    <w:rsid w:val="004F5E91"/>
    <w:rsid w:val="00501399"/>
    <w:rsid w:val="00507BC4"/>
    <w:rsid w:val="005128E4"/>
    <w:rsid w:val="00520D6B"/>
    <w:rsid w:val="00525560"/>
    <w:rsid w:val="005357A6"/>
    <w:rsid w:val="005407C0"/>
    <w:rsid w:val="00544C49"/>
    <w:rsid w:val="0057402A"/>
    <w:rsid w:val="005771D0"/>
    <w:rsid w:val="0058061A"/>
    <w:rsid w:val="0059191A"/>
    <w:rsid w:val="005921FF"/>
    <w:rsid w:val="0059404F"/>
    <w:rsid w:val="005960C5"/>
    <w:rsid w:val="005A01A6"/>
    <w:rsid w:val="005A6D0E"/>
    <w:rsid w:val="005B222D"/>
    <w:rsid w:val="005B493F"/>
    <w:rsid w:val="005B52B0"/>
    <w:rsid w:val="005B6806"/>
    <w:rsid w:val="005C00F9"/>
    <w:rsid w:val="005C4225"/>
    <w:rsid w:val="005F0F33"/>
    <w:rsid w:val="00600DEB"/>
    <w:rsid w:val="00613027"/>
    <w:rsid w:val="00613A3D"/>
    <w:rsid w:val="00627C9F"/>
    <w:rsid w:val="006311DA"/>
    <w:rsid w:val="006311E9"/>
    <w:rsid w:val="00632000"/>
    <w:rsid w:val="00632354"/>
    <w:rsid w:val="00642810"/>
    <w:rsid w:val="00652333"/>
    <w:rsid w:val="0068009E"/>
    <w:rsid w:val="0069155A"/>
    <w:rsid w:val="006A17D2"/>
    <w:rsid w:val="006A73E6"/>
    <w:rsid w:val="006B2D5C"/>
    <w:rsid w:val="006C4EB1"/>
    <w:rsid w:val="006D0321"/>
    <w:rsid w:val="006D10A8"/>
    <w:rsid w:val="006E0166"/>
    <w:rsid w:val="006E7B34"/>
    <w:rsid w:val="00701B24"/>
    <w:rsid w:val="00705D26"/>
    <w:rsid w:val="00732089"/>
    <w:rsid w:val="00745899"/>
    <w:rsid w:val="007607C4"/>
    <w:rsid w:val="0076643F"/>
    <w:rsid w:val="007804C0"/>
    <w:rsid w:val="007A2F70"/>
    <w:rsid w:val="007C3334"/>
    <w:rsid w:val="007C52BB"/>
    <w:rsid w:val="007D2B98"/>
    <w:rsid w:val="00803F1C"/>
    <w:rsid w:val="0080600E"/>
    <w:rsid w:val="00817612"/>
    <w:rsid w:val="00837C45"/>
    <w:rsid w:val="00853419"/>
    <w:rsid w:val="008757EF"/>
    <w:rsid w:val="00897E12"/>
    <w:rsid w:val="008A153A"/>
    <w:rsid w:val="008B0E1C"/>
    <w:rsid w:val="008B5C20"/>
    <w:rsid w:val="008D37BF"/>
    <w:rsid w:val="008D43BA"/>
    <w:rsid w:val="008E3759"/>
    <w:rsid w:val="008E619A"/>
    <w:rsid w:val="009041DC"/>
    <w:rsid w:val="009104B4"/>
    <w:rsid w:val="00925FCD"/>
    <w:rsid w:val="0093441A"/>
    <w:rsid w:val="00954BF7"/>
    <w:rsid w:val="0096706E"/>
    <w:rsid w:val="00981FBA"/>
    <w:rsid w:val="009B381B"/>
    <w:rsid w:val="009D7611"/>
    <w:rsid w:val="009D770B"/>
    <w:rsid w:val="009E53DE"/>
    <w:rsid w:val="009E661B"/>
    <w:rsid w:val="009F1B9D"/>
    <w:rsid w:val="00A3142A"/>
    <w:rsid w:val="00A43458"/>
    <w:rsid w:val="00A528D1"/>
    <w:rsid w:val="00A66BE5"/>
    <w:rsid w:val="00A6799A"/>
    <w:rsid w:val="00A76DE1"/>
    <w:rsid w:val="00AB0FBE"/>
    <w:rsid w:val="00AD37C1"/>
    <w:rsid w:val="00AE66EC"/>
    <w:rsid w:val="00AE6F91"/>
    <w:rsid w:val="00AF5571"/>
    <w:rsid w:val="00B167E9"/>
    <w:rsid w:val="00B314DB"/>
    <w:rsid w:val="00B31EBE"/>
    <w:rsid w:val="00B3718B"/>
    <w:rsid w:val="00B4632A"/>
    <w:rsid w:val="00B83DF6"/>
    <w:rsid w:val="00BA276C"/>
    <w:rsid w:val="00BB306F"/>
    <w:rsid w:val="00BC2AAB"/>
    <w:rsid w:val="00BC6573"/>
    <w:rsid w:val="00BC6F63"/>
    <w:rsid w:val="00BD232B"/>
    <w:rsid w:val="00BD4B89"/>
    <w:rsid w:val="00C16AEF"/>
    <w:rsid w:val="00C21762"/>
    <w:rsid w:val="00C24543"/>
    <w:rsid w:val="00C256A2"/>
    <w:rsid w:val="00C3492D"/>
    <w:rsid w:val="00C475DF"/>
    <w:rsid w:val="00C55560"/>
    <w:rsid w:val="00C66B72"/>
    <w:rsid w:val="00C9567A"/>
    <w:rsid w:val="00CA584C"/>
    <w:rsid w:val="00CB2660"/>
    <w:rsid w:val="00CC5E90"/>
    <w:rsid w:val="00CD046C"/>
    <w:rsid w:val="00CE5199"/>
    <w:rsid w:val="00CE66D5"/>
    <w:rsid w:val="00D32632"/>
    <w:rsid w:val="00D34786"/>
    <w:rsid w:val="00D366B7"/>
    <w:rsid w:val="00D40A1E"/>
    <w:rsid w:val="00D712D3"/>
    <w:rsid w:val="00D71422"/>
    <w:rsid w:val="00D7145E"/>
    <w:rsid w:val="00D7558D"/>
    <w:rsid w:val="00D81D92"/>
    <w:rsid w:val="00D9101D"/>
    <w:rsid w:val="00D93446"/>
    <w:rsid w:val="00DA37B6"/>
    <w:rsid w:val="00DA7B5F"/>
    <w:rsid w:val="00DD3924"/>
    <w:rsid w:val="00DD5436"/>
    <w:rsid w:val="00DD5F90"/>
    <w:rsid w:val="00E22563"/>
    <w:rsid w:val="00E27ABF"/>
    <w:rsid w:val="00E43157"/>
    <w:rsid w:val="00E533FF"/>
    <w:rsid w:val="00E60A77"/>
    <w:rsid w:val="00E709B3"/>
    <w:rsid w:val="00E739A7"/>
    <w:rsid w:val="00E8789F"/>
    <w:rsid w:val="00E97B71"/>
    <w:rsid w:val="00EB454D"/>
    <w:rsid w:val="00EB560E"/>
    <w:rsid w:val="00EE3522"/>
    <w:rsid w:val="00EF2603"/>
    <w:rsid w:val="00EF619B"/>
    <w:rsid w:val="00F00B55"/>
    <w:rsid w:val="00F03D94"/>
    <w:rsid w:val="00F1380F"/>
    <w:rsid w:val="00F14F0E"/>
    <w:rsid w:val="00F20473"/>
    <w:rsid w:val="00F24C29"/>
    <w:rsid w:val="00F253CC"/>
    <w:rsid w:val="00F56BA5"/>
    <w:rsid w:val="00F644E6"/>
    <w:rsid w:val="00F64582"/>
    <w:rsid w:val="00F70E8B"/>
    <w:rsid w:val="00F9653B"/>
    <w:rsid w:val="00FA675D"/>
    <w:rsid w:val="00FB62CF"/>
    <w:rsid w:val="00FC3EB4"/>
    <w:rsid w:val="00FC6C58"/>
    <w:rsid w:val="00FE6B45"/>
    <w:rsid w:val="00FF5851"/>
    <w:rsid w:val="00FF60B6"/>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1"/>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520D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20D6B"/>
  </w:style>
  <w:style w:type="paragraph" w:styleId="NormalWeb">
    <w:name w:val="Normal (Web)"/>
    <w:basedOn w:val="Normal"/>
    <w:uiPriority w:val="99"/>
    <w:unhideWhenUsed/>
    <w:rsid w:val="00B83D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39"/>
    <w:rsid w:val="00B83DF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B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45862">
      <w:bodyDiv w:val="1"/>
      <w:marLeft w:val="0"/>
      <w:marRight w:val="0"/>
      <w:marTop w:val="0"/>
      <w:marBottom w:val="0"/>
      <w:divBdr>
        <w:top w:val="none" w:sz="0" w:space="0" w:color="auto"/>
        <w:left w:val="none" w:sz="0" w:space="0" w:color="auto"/>
        <w:bottom w:val="none" w:sz="0" w:space="0" w:color="auto"/>
        <w:right w:val="none" w:sz="0" w:space="0" w:color="auto"/>
      </w:divBdr>
    </w:div>
    <w:div w:id="129355540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4357</Words>
  <Characters>23226</Characters>
  <Application>Microsoft Office Word</Application>
  <DocSecurity>0</DocSecurity>
  <Lines>504</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111/23</dc:title>
  <dc:creator/>
  <cp:lastModifiedBy/>
  <cp:revision>1</cp:revision>
  <dcterms:created xsi:type="dcterms:W3CDTF">2023-08-24T21:23:00Z</dcterms:created>
  <dcterms:modified xsi:type="dcterms:W3CDTF">2023-08-24T21:24:00Z</dcterms:modified>
</cp:coreProperties>
</file>